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Whitepaper background (2)" color2="white [3212]" recolor="t" type="frame"/>
    </v:background>
  </w:background>
  <w:body>
    <w:p w14:paraId="0AF3603E" w14:textId="77777777" w:rsidR="00B414C5" w:rsidRPr="001468A0" w:rsidRDefault="00366C93">
      <w:pPr>
        <w:spacing w:line="160" w:lineRule="exact"/>
        <w:rPr>
          <w:sz w:val="16"/>
          <w:szCs w:val="16"/>
        </w:rPr>
        <w:sectPr w:rsidR="00B414C5" w:rsidRPr="001468A0" w:rsidSect="009200DF">
          <w:footerReference w:type="default" r:id="rId9"/>
          <w:headerReference w:type="first" r:id="rId10"/>
          <w:type w:val="continuous"/>
          <w:pgSz w:w="12240" w:h="15840" w:code="1"/>
          <w:pgMar w:top="0" w:right="0" w:bottom="0" w:left="0" w:header="720" w:footer="720" w:gutter="0"/>
          <w:pgNumType w:start="1"/>
          <w:cols w:space="720"/>
          <w:titlePg/>
          <w:docGrid w:linePitch="299"/>
        </w:sectPr>
      </w:pPr>
      <w:r w:rsidRPr="007F7D7C">
        <w:rPr>
          <w:noProof/>
          <w:color w:val="FFFFFF" w:themeColor="background1"/>
        </w:rPr>
        <w:drawing>
          <wp:anchor distT="0" distB="0" distL="0" distR="0" simplePos="0" relativeHeight="251665408" behindDoc="0" locked="0" layoutInCell="1" allowOverlap="1" wp14:anchorId="01F15B75" wp14:editId="68EEF16D">
            <wp:simplePos x="0" y="0"/>
            <wp:positionH relativeFrom="margin">
              <wp:posOffset>5722620</wp:posOffset>
            </wp:positionH>
            <wp:positionV relativeFrom="paragraph">
              <wp:posOffset>0</wp:posOffset>
            </wp:positionV>
            <wp:extent cx="1104900" cy="525780"/>
            <wp:effectExtent l="0" t="0" r="0" b="7620"/>
            <wp:wrapTopAndBottom/>
            <wp:docPr id="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jpeg"/>
                    <pic:cNvPicPr/>
                  </pic:nvPicPr>
                  <pic:blipFill>
                    <a:blip r:embed="rId11" cstate="print"/>
                    <a:stretch>
                      <a:fillRect/>
                    </a:stretch>
                  </pic:blipFill>
                  <pic:spPr>
                    <a:xfrm>
                      <a:off x="0" y="0"/>
                      <a:ext cx="1104900" cy="525780"/>
                    </a:xfrm>
                    <a:prstGeom prst="rect">
                      <a:avLst/>
                    </a:prstGeom>
                  </pic:spPr>
                </pic:pic>
              </a:graphicData>
            </a:graphic>
            <wp14:sizeRelH relativeFrom="margin">
              <wp14:pctWidth>0</wp14:pctWidth>
            </wp14:sizeRelH>
            <wp14:sizeRelV relativeFrom="margin">
              <wp14:pctHeight>0</wp14:pctHeight>
            </wp14:sizeRelV>
          </wp:anchor>
        </w:drawing>
      </w:r>
    </w:p>
    <w:p w14:paraId="35BFE711" w14:textId="77777777" w:rsidR="005C6EE7" w:rsidRDefault="005C6EE7" w:rsidP="005C6EE7">
      <w:pPr>
        <w:ind w:left="270"/>
        <w:rPr>
          <w:rFonts w:cstheme="minorHAnsi"/>
          <w:b/>
          <w:color w:val="2A4D77"/>
          <w:sz w:val="80"/>
          <w:szCs w:val="80"/>
        </w:rPr>
      </w:pPr>
    </w:p>
    <w:p w14:paraId="1E104807" w14:textId="77777777" w:rsidR="005C6EE7" w:rsidRDefault="005C6EE7" w:rsidP="005C6EE7">
      <w:pPr>
        <w:ind w:left="270"/>
        <w:rPr>
          <w:rFonts w:cstheme="minorHAnsi"/>
          <w:b/>
          <w:color w:val="2A4D77"/>
          <w:sz w:val="80"/>
          <w:szCs w:val="80"/>
        </w:rPr>
      </w:pPr>
    </w:p>
    <w:p w14:paraId="71A7E7A4" w14:textId="77777777" w:rsidR="005C6EE7" w:rsidRDefault="005C6EE7" w:rsidP="005C6EE7">
      <w:pPr>
        <w:ind w:left="270"/>
        <w:rPr>
          <w:rFonts w:cstheme="minorHAnsi"/>
          <w:b/>
          <w:color w:val="2A4D77"/>
          <w:sz w:val="80"/>
          <w:szCs w:val="80"/>
        </w:rPr>
      </w:pPr>
    </w:p>
    <w:p w14:paraId="516E7A22" w14:textId="77777777" w:rsidR="00C5718E" w:rsidRPr="005C6EE7" w:rsidRDefault="00C5718E" w:rsidP="00A43A3F">
      <w:pPr>
        <w:ind w:left="270"/>
        <w:jc w:val="center"/>
        <w:rPr>
          <w:rFonts w:cstheme="minorHAnsi"/>
          <w:b/>
          <w:color w:val="2A4D77"/>
          <w:sz w:val="80"/>
          <w:szCs w:val="80"/>
        </w:rPr>
      </w:pPr>
      <w:r w:rsidRPr="005C6EE7">
        <w:rPr>
          <w:rFonts w:cstheme="minorHAnsi"/>
          <w:b/>
          <w:color w:val="2A4D77"/>
          <w:sz w:val="80"/>
          <w:szCs w:val="80"/>
        </w:rPr>
        <w:t xml:space="preserve">Auditing </w:t>
      </w:r>
      <w:r w:rsidR="009E7C91" w:rsidRPr="005C6EE7">
        <w:rPr>
          <w:rFonts w:cstheme="minorHAnsi"/>
          <w:b/>
          <w:color w:val="2A4D77"/>
          <w:sz w:val="80"/>
          <w:szCs w:val="80"/>
        </w:rPr>
        <w:t>t</w:t>
      </w:r>
      <w:r w:rsidRPr="005C6EE7">
        <w:rPr>
          <w:rFonts w:cstheme="minorHAnsi"/>
          <w:b/>
          <w:color w:val="2A4D77"/>
          <w:sz w:val="80"/>
          <w:szCs w:val="80"/>
        </w:rPr>
        <w:t>he 340B Program</w:t>
      </w:r>
    </w:p>
    <w:p w14:paraId="1650586D" w14:textId="77777777" w:rsidR="00C5718E" w:rsidRPr="005C6EE7" w:rsidRDefault="00EC0933" w:rsidP="00A43A3F">
      <w:pPr>
        <w:ind w:left="270"/>
        <w:jc w:val="center"/>
        <w:rPr>
          <w:rFonts w:cstheme="minorHAnsi"/>
          <w:b/>
          <w:color w:val="2A4D77"/>
          <w:sz w:val="80"/>
          <w:szCs w:val="80"/>
        </w:rPr>
      </w:pPr>
      <w:r w:rsidRPr="005C6EE7">
        <w:rPr>
          <w:rFonts w:cstheme="minorHAnsi"/>
          <w:b/>
          <w:color w:val="2A4D77"/>
          <w:sz w:val="80"/>
          <w:szCs w:val="80"/>
        </w:rPr>
        <w:t>For</w:t>
      </w:r>
      <w:r w:rsidR="00C5718E" w:rsidRPr="005C6EE7">
        <w:rPr>
          <w:rFonts w:cstheme="minorHAnsi"/>
          <w:b/>
          <w:color w:val="2A4D77"/>
          <w:sz w:val="80"/>
          <w:szCs w:val="80"/>
        </w:rPr>
        <w:t xml:space="preserve"> Disproportionate Share Hospitals</w:t>
      </w:r>
    </w:p>
    <w:p w14:paraId="235CFA8F" w14:textId="77777777" w:rsidR="00C5718E" w:rsidRPr="009C1763" w:rsidRDefault="00C5718E" w:rsidP="005C6EE7">
      <w:pPr>
        <w:ind w:left="270"/>
        <w:jc w:val="center"/>
        <w:rPr>
          <w:rFonts w:cstheme="minorHAnsi"/>
          <w:sz w:val="40"/>
          <w:szCs w:val="40"/>
        </w:rPr>
      </w:pPr>
    </w:p>
    <w:p w14:paraId="4104F2D3" w14:textId="77777777" w:rsidR="00EB7828" w:rsidRPr="00BA6E34" w:rsidRDefault="00C5718E" w:rsidP="005C6EE7">
      <w:pPr>
        <w:ind w:left="270"/>
        <w:rPr>
          <w:rFonts w:cstheme="minorHAnsi"/>
          <w:color w:val="2898D3"/>
          <w:sz w:val="30"/>
          <w:szCs w:val="30"/>
        </w:rPr>
      </w:pPr>
      <w:r w:rsidRPr="00BA6E34">
        <w:rPr>
          <w:rFonts w:cstheme="minorHAnsi"/>
          <w:color w:val="2898D3"/>
          <w:sz w:val="30"/>
          <w:szCs w:val="30"/>
        </w:rPr>
        <w:t>Author: Priya Kiswani,</w:t>
      </w:r>
      <w:r w:rsidR="00EB7828" w:rsidRPr="00BA6E34">
        <w:rPr>
          <w:rFonts w:cstheme="minorHAnsi"/>
          <w:color w:val="2898D3"/>
          <w:sz w:val="30"/>
          <w:szCs w:val="30"/>
        </w:rPr>
        <w:t xml:space="preserve"> CPA</w:t>
      </w:r>
    </w:p>
    <w:p w14:paraId="75E46F4D" w14:textId="77777777" w:rsidR="00C5718E" w:rsidRPr="00BA6E34" w:rsidRDefault="00EB7828" w:rsidP="005C6EE7">
      <w:pPr>
        <w:ind w:left="270"/>
        <w:rPr>
          <w:rFonts w:cstheme="minorHAnsi"/>
          <w:color w:val="2898D3"/>
          <w:sz w:val="30"/>
          <w:szCs w:val="30"/>
        </w:rPr>
      </w:pPr>
      <w:r w:rsidRPr="00BA6E34">
        <w:rPr>
          <w:rFonts w:cstheme="minorHAnsi"/>
          <w:color w:val="2898D3"/>
          <w:sz w:val="30"/>
          <w:szCs w:val="30"/>
        </w:rPr>
        <w:t>Director of Internal Audit</w:t>
      </w:r>
      <w:r w:rsidR="00BA6E34" w:rsidRPr="00BA6E34">
        <w:rPr>
          <w:rFonts w:cstheme="minorHAnsi"/>
          <w:color w:val="2898D3"/>
          <w:sz w:val="30"/>
          <w:szCs w:val="30"/>
        </w:rPr>
        <w:t xml:space="preserve"> | </w:t>
      </w:r>
      <w:r w:rsidRPr="00BA6E34">
        <w:rPr>
          <w:rFonts w:cstheme="minorHAnsi"/>
          <w:color w:val="2898D3"/>
          <w:sz w:val="30"/>
          <w:szCs w:val="30"/>
        </w:rPr>
        <w:t>Jackson Health System</w:t>
      </w:r>
    </w:p>
    <w:p w14:paraId="578ED754" w14:textId="77777777" w:rsidR="00C5718E" w:rsidRPr="009C1763" w:rsidRDefault="00C5718E" w:rsidP="00C5718E">
      <w:pPr>
        <w:spacing w:before="75"/>
        <w:ind w:left="2947" w:hanging="67"/>
        <w:rPr>
          <w:rFonts w:cstheme="minorHAnsi"/>
          <w:noProof/>
        </w:rPr>
      </w:pPr>
    </w:p>
    <w:p w14:paraId="1DE7A32F" w14:textId="77777777" w:rsidR="005C6EE7" w:rsidRDefault="005C6EE7" w:rsidP="00C5718E">
      <w:pPr>
        <w:spacing w:before="75"/>
        <w:ind w:left="2947" w:hanging="67"/>
        <w:rPr>
          <w:rFonts w:cstheme="minorHAnsi"/>
          <w:noProof/>
        </w:rPr>
      </w:pPr>
    </w:p>
    <w:p w14:paraId="5A6C0A9B" w14:textId="77777777" w:rsidR="005C6EE7" w:rsidRDefault="005C6EE7" w:rsidP="00C5718E">
      <w:pPr>
        <w:spacing w:before="75"/>
        <w:ind w:left="2947" w:hanging="67"/>
        <w:rPr>
          <w:rFonts w:cstheme="minorHAnsi"/>
          <w:noProof/>
        </w:rPr>
      </w:pPr>
    </w:p>
    <w:p w14:paraId="7DDFAF8D" w14:textId="77777777" w:rsidR="005C6EE7" w:rsidRDefault="005C6EE7" w:rsidP="00C5718E">
      <w:pPr>
        <w:spacing w:before="75"/>
        <w:ind w:left="2947" w:hanging="67"/>
        <w:rPr>
          <w:rFonts w:cstheme="minorHAnsi"/>
          <w:noProof/>
        </w:rPr>
      </w:pPr>
    </w:p>
    <w:p w14:paraId="095EACDC" w14:textId="77777777" w:rsidR="005C6EE7" w:rsidRDefault="005C6EE7" w:rsidP="00C5718E">
      <w:pPr>
        <w:spacing w:before="75"/>
        <w:ind w:left="2947" w:hanging="67"/>
        <w:rPr>
          <w:rFonts w:cstheme="minorHAnsi"/>
          <w:noProof/>
        </w:rPr>
      </w:pPr>
    </w:p>
    <w:p w14:paraId="101A387C" w14:textId="77777777" w:rsidR="005C6EE7" w:rsidRDefault="005C6EE7" w:rsidP="00C5718E">
      <w:pPr>
        <w:spacing w:before="75"/>
        <w:ind w:left="2947" w:hanging="67"/>
        <w:rPr>
          <w:rFonts w:cstheme="minorHAnsi"/>
          <w:noProof/>
        </w:rPr>
      </w:pPr>
    </w:p>
    <w:p w14:paraId="58F5A83D" w14:textId="77777777" w:rsidR="005C6EE7" w:rsidRDefault="005C6EE7" w:rsidP="00C5718E">
      <w:pPr>
        <w:spacing w:before="75"/>
        <w:ind w:left="2947" w:hanging="67"/>
        <w:rPr>
          <w:rFonts w:cstheme="minorHAnsi"/>
          <w:noProof/>
        </w:rPr>
      </w:pPr>
    </w:p>
    <w:p w14:paraId="63441907" w14:textId="77777777" w:rsidR="005C6EE7" w:rsidRDefault="005C6EE7" w:rsidP="00C5718E">
      <w:pPr>
        <w:spacing w:before="75"/>
        <w:ind w:left="2947" w:hanging="67"/>
        <w:rPr>
          <w:rFonts w:cstheme="minorHAnsi"/>
          <w:noProof/>
        </w:rPr>
      </w:pPr>
    </w:p>
    <w:p w14:paraId="46811ED3" w14:textId="77777777" w:rsidR="005C6EE7" w:rsidRDefault="005C6EE7" w:rsidP="00C5718E">
      <w:pPr>
        <w:spacing w:before="75"/>
        <w:ind w:left="2947" w:hanging="67"/>
        <w:rPr>
          <w:rFonts w:cstheme="minorHAnsi"/>
          <w:noProof/>
        </w:rPr>
      </w:pPr>
    </w:p>
    <w:p w14:paraId="6288531A" w14:textId="77777777" w:rsidR="005C6EE7" w:rsidRDefault="005C6EE7" w:rsidP="00C5718E">
      <w:pPr>
        <w:spacing w:before="75"/>
        <w:ind w:left="2947" w:hanging="67"/>
        <w:rPr>
          <w:rFonts w:cstheme="minorHAnsi"/>
          <w:noProof/>
        </w:rPr>
      </w:pPr>
    </w:p>
    <w:p w14:paraId="22E8ED1B" w14:textId="77777777" w:rsidR="005C6EE7" w:rsidRPr="009C1763" w:rsidRDefault="005C6EE7" w:rsidP="00C5718E">
      <w:pPr>
        <w:spacing w:before="75"/>
        <w:ind w:left="2947" w:hanging="67"/>
        <w:rPr>
          <w:rFonts w:cstheme="minorHAnsi"/>
          <w:noProof/>
        </w:rPr>
      </w:pPr>
    </w:p>
    <w:p w14:paraId="5CDCE46C" w14:textId="77777777" w:rsidR="00773B7B" w:rsidRPr="009C1763" w:rsidRDefault="0099705C" w:rsidP="005C6EE7">
      <w:pPr>
        <w:spacing w:before="75"/>
        <w:ind w:left="2947" w:hanging="67"/>
        <w:jc w:val="right"/>
        <w:rPr>
          <w:rFonts w:eastAsia="Calibri" w:cstheme="minorHAnsi"/>
          <w:b/>
        </w:rPr>
      </w:pPr>
      <w:r w:rsidRPr="009C1763">
        <w:rPr>
          <w:rFonts w:cstheme="minorHAnsi"/>
          <w:noProof/>
        </w:rPr>
        <w:drawing>
          <wp:inline distT="0" distB="0" distL="0" distR="0" wp14:anchorId="0D90F182" wp14:editId="0C8DC080">
            <wp:extent cx="2743200" cy="11487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43200" cy="1148715"/>
                    </a:xfrm>
                    <a:prstGeom prst="rect">
                      <a:avLst/>
                    </a:prstGeom>
                  </pic:spPr>
                </pic:pic>
              </a:graphicData>
            </a:graphic>
          </wp:inline>
        </w:drawing>
      </w:r>
      <w:r w:rsidR="00AA0131" w:rsidRPr="009C1763">
        <w:rPr>
          <w:rFonts w:cstheme="minorHAnsi"/>
          <w:color w:val="000099"/>
          <w:w w:val="105"/>
        </w:rPr>
        <w:br w:type="column"/>
      </w:r>
    </w:p>
    <w:p w14:paraId="2133E53E" w14:textId="77777777" w:rsidR="008563D8" w:rsidRDefault="00284DB6" w:rsidP="008563D8">
      <w:pPr>
        <w:tabs>
          <w:tab w:val="left" w:pos="980"/>
          <w:tab w:val="left" w:pos="6560"/>
        </w:tabs>
        <w:autoSpaceDE w:val="0"/>
        <w:autoSpaceDN w:val="0"/>
        <w:adjustRightInd w:val="0"/>
        <w:ind w:left="979" w:hanging="979"/>
        <w:rPr>
          <w:rFonts w:cstheme="minorHAnsi"/>
          <w:b/>
          <w:color w:val="2A4D77"/>
          <w:sz w:val="40"/>
          <w:szCs w:val="40"/>
        </w:rPr>
      </w:pPr>
      <w:r w:rsidRPr="00BA6E34">
        <w:rPr>
          <w:rFonts w:cstheme="minorHAnsi"/>
          <w:b/>
          <w:color w:val="2A4D77"/>
          <w:sz w:val="40"/>
          <w:szCs w:val="40"/>
        </w:rPr>
        <w:t>TABLE OF CONTENTS</w:t>
      </w:r>
    </w:p>
    <w:sdt>
      <w:sdtPr>
        <w:rPr>
          <w:rFonts w:asciiTheme="minorHAnsi" w:eastAsiaTheme="minorHAnsi" w:hAnsiTheme="minorHAnsi" w:cstheme="minorHAnsi"/>
          <w:bCs w:val="0"/>
          <w:color w:val="auto"/>
          <w:sz w:val="22"/>
          <w:szCs w:val="22"/>
          <w:u w:val="none"/>
          <w:lang w:eastAsia="en-US"/>
        </w:rPr>
        <w:id w:val="1897384183"/>
        <w:docPartObj>
          <w:docPartGallery w:val="Table of Contents"/>
          <w:docPartUnique/>
        </w:docPartObj>
      </w:sdtPr>
      <w:sdtEndPr>
        <w:rPr>
          <w:b/>
          <w:color w:val="2A4D77"/>
        </w:rPr>
      </w:sdtEndPr>
      <w:sdtContent>
        <w:p w14:paraId="5EEE457A" w14:textId="77777777" w:rsidR="000C01CD" w:rsidRPr="00B10C7F" w:rsidRDefault="000C01CD">
          <w:pPr>
            <w:pStyle w:val="TOCHeading"/>
            <w:rPr>
              <w:rFonts w:asciiTheme="minorHAnsi" w:hAnsiTheme="minorHAnsi" w:cstheme="minorHAnsi"/>
              <w:color w:val="2A4D77"/>
            </w:rPr>
          </w:pPr>
        </w:p>
        <w:p w14:paraId="75EC3DDF" w14:textId="62B7359F" w:rsidR="00B10C7F" w:rsidRPr="00B10C7F" w:rsidRDefault="0002202E" w:rsidP="000A5A47">
          <w:pPr>
            <w:pStyle w:val="TOC1"/>
            <w:tabs>
              <w:tab w:val="left" w:pos="440"/>
              <w:tab w:val="right" w:leader="dot" w:pos="9350"/>
            </w:tabs>
            <w:jc w:val="both"/>
            <w:rPr>
              <w:rFonts w:asciiTheme="minorHAnsi" w:eastAsiaTheme="minorEastAsia" w:hAnsiTheme="minorHAnsi" w:cstheme="minorHAnsi"/>
              <w:b w:val="0"/>
              <w:bCs w:val="0"/>
              <w:noProof/>
              <w:color w:val="2A4D77"/>
              <w:sz w:val="22"/>
              <w:szCs w:val="22"/>
            </w:rPr>
          </w:pPr>
          <w:r w:rsidRPr="00B10C7F">
            <w:rPr>
              <w:rFonts w:asciiTheme="minorHAnsi" w:hAnsiTheme="minorHAnsi" w:cstheme="minorHAnsi"/>
              <w:b w:val="0"/>
              <w:bCs w:val="0"/>
              <w:caps/>
              <w:color w:val="2A4D77"/>
            </w:rPr>
            <w:fldChar w:fldCharType="begin"/>
          </w:r>
          <w:r w:rsidRPr="00B10C7F">
            <w:rPr>
              <w:rFonts w:asciiTheme="minorHAnsi" w:hAnsiTheme="minorHAnsi" w:cstheme="minorHAnsi"/>
              <w:b w:val="0"/>
              <w:bCs w:val="0"/>
              <w:caps/>
              <w:color w:val="2A4D77"/>
            </w:rPr>
            <w:instrText xml:space="preserve"> TOC \o "1-3" \h \z \u </w:instrText>
          </w:r>
          <w:r w:rsidRPr="00B10C7F">
            <w:rPr>
              <w:rFonts w:asciiTheme="minorHAnsi" w:hAnsiTheme="minorHAnsi" w:cstheme="minorHAnsi"/>
              <w:b w:val="0"/>
              <w:bCs w:val="0"/>
              <w:caps/>
              <w:color w:val="2A4D77"/>
            </w:rPr>
            <w:fldChar w:fldCharType="separate"/>
          </w:r>
          <w:hyperlink w:anchor="_Toc53580948" w:history="1">
            <w:r w:rsidR="00B10C7F" w:rsidRPr="00B10C7F">
              <w:rPr>
                <w:rStyle w:val="Hyperlink"/>
                <w:rFonts w:asciiTheme="minorHAnsi" w:hAnsiTheme="minorHAnsi" w:cstheme="minorHAnsi"/>
                <w:noProof/>
                <w:color w:val="2A4D77"/>
              </w:rPr>
              <w:t>I.</w:t>
            </w:r>
            <w:r w:rsidR="00B10C7F" w:rsidRPr="00B10C7F">
              <w:rPr>
                <w:rFonts w:asciiTheme="minorHAnsi" w:eastAsiaTheme="minorEastAsia" w:hAnsiTheme="minorHAnsi" w:cstheme="minorHAnsi"/>
                <w:b w:val="0"/>
                <w:bCs w:val="0"/>
                <w:noProof/>
                <w:color w:val="2A4D77"/>
                <w:sz w:val="22"/>
                <w:szCs w:val="22"/>
              </w:rPr>
              <w:tab/>
              <w:t xml:space="preserve">    </w:t>
            </w:r>
            <w:r w:rsidR="00B10C7F" w:rsidRPr="00B10C7F">
              <w:rPr>
                <w:rStyle w:val="Hyperlink"/>
                <w:rFonts w:asciiTheme="minorHAnsi" w:hAnsiTheme="minorHAnsi" w:cstheme="minorHAnsi"/>
                <w:noProof/>
                <w:color w:val="2A4D77"/>
              </w:rPr>
              <w:t>Abstract</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_Toc53580948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2</w:t>
            </w:r>
            <w:r w:rsidR="00B10C7F" w:rsidRPr="00B10C7F">
              <w:rPr>
                <w:rFonts w:asciiTheme="minorHAnsi" w:hAnsiTheme="minorHAnsi" w:cstheme="minorHAnsi"/>
                <w:noProof/>
                <w:webHidden/>
                <w:color w:val="2A4D77"/>
              </w:rPr>
              <w:fldChar w:fldCharType="end"/>
            </w:r>
          </w:hyperlink>
        </w:p>
        <w:p w14:paraId="030E8B14" w14:textId="7209119A" w:rsidR="00B10C7F" w:rsidRPr="00B10C7F" w:rsidRDefault="00A506BC" w:rsidP="000A5A47">
          <w:pPr>
            <w:pStyle w:val="TOC1"/>
            <w:tabs>
              <w:tab w:val="left" w:pos="660"/>
              <w:tab w:val="right" w:leader="dot" w:pos="9350"/>
            </w:tabs>
            <w:jc w:val="both"/>
            <w:rPr>
              <w:rFonts w:asciiTheme="minorHAnsi" w:eastAsiaTheme="minorEastAsia" w:hAnsiTheme="minorHAnsi" w:cstheme="minorHAnsi"/>
              <w:b w:val="0"/>
              <w:bCs w:val="0"/>
              <w:noProof/>
              <w:color w:val="2A4D77"/>
              <w:sz w:val="22"/>
              <w:szCs w:val="22"/>
            </w:rPr>
          </w:pPr>
          <w:hyperlink w:anchor="_Toc53580949" w:history="1">
            <w:r w:rsidR="00B10C7F" w:rsidRPr="00B10C7F">
              <w:rPr>
                <w:rStyle w:val="Hyperlink"/>
                <w:rFonts w:asciiTheme="minorHAnsi" w:hAnsiTheme="minorHAnsi" w:cstheme="minorHAnsi"/>
                <w:noProof/>
                <w:color w:val="2A4D77"/>
              </w:rPr>
              <w:t>II.</w:t>
            </w:r>
            <w:r w:rsidR="00B10C7F" w:rsidRPr="00B10C7F">
              <w:rPr>
                <w:rFonts w:asciiTheme="minorHAnsi" w:eastAsiaTheme="minorEastAsia" w:hAnsiTheme="minorHAnsi" w:cstheme="minorHAnsi"/>
                <w:b w:val="0"/>
                <w:bCs w:val="0"/>
                <w:noProof/>
                <w:color w:val="2A4D77"/>
                <w:sz w:val="22"/>
                <w:szCs w:val="22"/>
              </w:rPr>
              <w:tab/>
            </w:r>
            <w:r w:rsidR="00B10C7F" w:rsidRPr="00B10C7F">
              <w:rPr>
                <w:rStyle w:val="Hyperlink"/>
                <w:rFonts w:asciiTheme="minorHAnsi" w:hAnsiTheme="minorHAnsi" w:cstheme="minorHAnsi"/>
                <w:noProof/>
                <w:color w:val="2A4D77"/>
              </w:rPr>
              <w:t>What is the 340B Program</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_Toc53580949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2</w:t>
            </w:r>
            <w:r w:rsidR="00B10C7F" w:rsidRPr="00B10C7F">
              <w:rPr>
                <w:rFonts w:asciiTheme="minorHAnsi" w:hAnsiTheme="minorHAnsi" w:cstheme="minorHAnsi"/>
                <w:noProof/>
                <w:webHidden/>
                <w:color w:val="2A4D77"/>
              </w:rPr>
              <w:fldChar w:fldCharType="end"/>
            </w:r>
          </w:hyperlink>
        </w:p>
        <w:p w14:paraId="5FFA2381" w14:textId="39C8D809" w:rsidR="00B10C7F" w:rsidRPr="00B10C7F" w:rsidRDefault="00A506BC" w:rsidP="000A5A47">
          <w:pPr>
            <w:pStyle w:val="TOC1"/>
            <w:tabs>
              <w:tab w:val="left" w:pos="880"/>
              <w:tab w:val="right" w:leader="dot" w:pos="9350"/>
            </w:tabs>
            <w:jc w:val="both"/>
            <w:rPr>
              <w:rFonts w:asciiTheme="minorHAnsi" w:eastAsiaTheme="minorEastAsia" w:hAnsiTheme="minorHAnsi" w:cstheme="minorHAnsi"/>
              <w:b w:val="0"/>
              <w:bCs w:val="0"/>
              <w:noProof/>
              <w:color w:val="2A4D77"/>
              <w:sz w:val="22"/>
              <w:szCs w:val="22"/>
            </w:rPr>
          </w:pPr>
          <w:hyperlink w:anchor="_Toc53580950" w:history="1">
            <w:r w:rsidR="00B10C7F" w:rsidRPr="00B10C7F">
              <w:rPr>
                <w:rStyle w:val="Hyperlink"/>
                <w:rFonts w:asciiTheme="minorHAnsi" w:hAnsiTheme="minorHAnsi" w:cstheme="minorHAnsi"/>
                <w:noProof/>
                <w:color w:val="2A4D77"/>
              </w:rPr>
              <w:t>III.</w:t>
            </w:r>
            <w:r w:rsidR="00B10C7F" w:rsidRPr="00B10C7F">
              <w:rPr>
                <w:rFonts w:asciiTheme="minorHAnsi" w:eastAsiaTheme="minorEastAsia" w:hAnsiTheme="minorHAnsi" w:cstheme="minorHAnsi"/>
                <w:b w:val="0"/>
                <w:bCs w:val="0"/>
                <w:noProof/>
                <w:color w:val="2A4D77"/>
                <w:sz w:val="22"/>
                <w:szCs w:val="22"/>
              </w:rPr>
              <w:t xml:space="preserve">    </w:t>
            </w:r>
            <w:r w:rsidR="00B10C7F">
              <w:rPr>
                <w:rFonts w:asciiTheme="minorHAnsi" w:eastAsiaTheme="minorEastAsia" w:hAnsiTheme="minorHAnsi" w:cstheme="minorHAnsi"/>
                <w:b w:val="0"/>
                <w:bCs w:val="0"/>
                <w:noProof/>
                <w:color w:val="2A4D77"/>
                <w:sz w:val="22"/>
                <w:szCs w:val="22"/>
              </w:rPr>
              <w:t xml:space="preserve">  </w:t>
            </w:r>
            <w:r w:rsidR="00B10C7F" w:rsidRPr="00B10C7F">
              <w:rPr>
                <w:rStyle w:val="Hyperlink"/>
                <w:rFonts w:asciiTheme="minorHAnsi" w:hAnsiTheme="minorHAnsi" w:cstheme="minorHAnsi"/>
                <w:noProof/>
                <w:color w:val="2A4D77"/>
              </w:rPr>
              <w:t>Who Administers the Program &amp; How Does it Work</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_Toc53580950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2</w:t>
            </w:r>
            <w:r w:rsidR="00B10C7F" w:rsidRPr="00B10C7F">
              <w:rPr>
                <w:rFonts w:asciiTheme="minorHAnsi" w:hAnsiTheme="minorHAnsi" w:cstheme="minorHAnsi"/>
                <w:noProof/>
                <w:webHidden/>
                <w:color w:val="2A4D77"/>
              </w:rPr>
              <w:fldChar w:fldCharType="end"/>
            </w:r>
          </w:hyperlink>
        </w:p>
        <w:p w14:paraId="1A30F046" w14:textId="57C7506C" w:rsidR="00B10C7F" w:rsidRPr="00B10C7F" w:rsidRDefault="00A506BC" w:rsidP="000A5A47">
          <w:pPr>
            <w:pStyle w:val="TOC1"/>
            <w:tabs>
              <w:tab w:val="left" w:pos="660"/>
              <w:tab w:val="right" w:leader="dot" w:pos="9350"/>
            </w:tabs>
            <w:jc w:val="both"/>
            <w:rPr>
              <w:rFonts w:asciiTheme="minorHAnsi" w:eastAsiaTheme="minorEastAsia" w:hAnsiTheme="minorHAnsi" w:cstheme="minorHAnsi"/>
              <w:b w:val="0"/>
              <w:bCs w:val="0"/>
              <w:noProof/>
              <w:color w:val="2A4D77"/>
              <w:sz w:val="22"/>
              <w:szCs w:val="22"/>
            </w:rPr>
          </w:pPr>
          <w:hyperlink w:anchor="_Toc53580951" w:history="1">
            <w:r w:rsidR="00B10C7F" w:rsidRPr="00B10C7F">
              <w:rPr>
                <w:rStyle w:val="Hyperlink"/>
                <w:rFonts w:asciiTheme="minorHAnsi" w:hAnsiTheme="minorHAnsi" w:cstheme="minorHAnsi"/>
                <w:noProof/>
                <w:color w:val="2A4D77"/>
              </w:rPr>
              <w:t>IV.</w:t>
            </w:r>
            <w:r w:rsidR="00B10C7F" w:rsidRPr="00B10C7F">
              <w:rPr>
                <w:rFonts w:asciiTheme="minorHAnsi" w:eastAsiaTheme="minorEastAsia" w:hAnsiTheme="minorHAnsi" w:cstheme="minorHAnsi"/>
                <w:b w:val="0"/>
                <w:bCs w:val="0"/>
                <w:noProof/>
                <w:color w:val="2A4D77"/>
                <w:sz w:val="22"/>
                <w:szCs w:val="22"/>
              </w:rPr>
              <w:tab/>
            </w:r>
            <w:r w:rsidR="00B10C7F" w:rsidRPr="00B10C7F">
              <w:rPr>
                <w:rStyle w:val="Hyperlink"/>
                <w:rFonts w:asciiTheme="minorHAnsi" w:hAnsiTheme="minorHAnsi" w:cstheme="minorHAnsi"/>
                <w:noProof/>
                <w:color w:val="2A4D77"/>
              </w:rPr>
              <w:t>The “Carve</w:t>
            </w:r>
            <w:r w:rsidR="000E6D3A">
              <w:rPr>
                <w:rStyle w:val="Hyperlink"/>
                <w:rFonts w:asciiTheme="minorHAnsi" w:hAnsiTheme="minorHAnsi" w:cstheme="minorHAnsi"/>
                <w:noProof/>
                <w:color w:val="2A4D77"/>
              </w:rPr>
              <w:t>-</w:t>
            </w:r>
            <w:r w:rsidR="00B10C7F" w:rsidRPr="00B10C7F">
              <w:rPr>
                <w:rStyle w:val="Hyperlink"/>
                <w:rFonts w:asciiTheme="minorHAnsi" w:hAnsiTheme="minorHAnsi" w:cstheme="minorHAnsi"/>
                <w:noProof/>
                <w:color w:val="2A4D77"/>
              </w:rPr>
              <w:t>In” and “Carve</w:t>
            </w:r>
            <w:r w:rsidR="000E6D3A">
              <w:rPr>
                <w:rStyle w:val="Hyperlink"/>
                <w:rFonts w:asciiTheme="minorHAnsi" w:hAnsiTheme="minorHAnsi" w:cstheme="minorHAnsi"/>
                <w:noProof/>
                <w:color w:val="2A4D77"/>
              </w:rPr>
              <w:t>-</w:t>
            </w:r>
            <w:r w:rsidR="00B10C7F" w:rsidRPr="00B10C7F">
              <w:rPr>
                <w:rStyle w:val="Hyperlink"/>
                <w:rFonts w:asciiTheme="minorHAnsi" w:hAnsiTheme="minorHAnsi" w:cstheme="minorHAnsi"/>
                <w:noProof/>
                <w:color w:val="2A4D77"/>
              </w:rPr>
              <w:t>Out” Drug Dispensation Model</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_Toc53580951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4</w:t>
            </w:r>
            <w:r w:rsidR="00B10C7F" w:rsidRPr="00B10C7F">
              <w:rPr>
                <w:rFonts w:asciiTheme="minorHAnsi" w:hAnsiTheme="minorHAnsi" w:cstheme="minorHAnsi"/>
                <w:noProof/>
                <w:webHidden/>
                <w:color w:val="2A4D77"/>
              </w:rPr>
              <w:fldChar w:fldCharType="end"/>
            </w:r>
          </w:hyperlink>
        </w:p>
        <w:p w14:paraId="627E60D4" w14:textId="07098DDC" w:rsidR="00B10C7F" w:rsidRPr="00B10C7F" w:rsidRDefault="00A506BC" w:rsidP="000A5A47">
          <w:pPr>
            <w:pStyle w:val="TOC1"/>
            <w:tabs>
              <w:tab w:val="left" w:pos="660"/>
              <w:tab w:val="right" w:leader="dot" w:pos="9350"/>
            </w:tabs>
            <w:jc w:val="both"/>
            <w:rPr>
              <w:rFonts w:asciiTheme="minorHAnsi" w:eastAsiaTheme="minorEastAsia" w:hAnsiTheme="minorHAnsi" w:cstheme="minorHAnsi"/>
              <w:b w:val="0"/>
              <w:bCs w:val="0"/>
              <w:noProof/>
              <w:color w:val="2A4D77"/>
              <w:sz w:val="22"/>
              <w:szCs w:val="22"/>
            </w:rPr>
          </w:pPr>
          <w:hyperlink w:anchor="_Toc53580952" w:history="1">
            <w:r w:rsidR="00B10C7F" w:rsidRPr="00B10C7F">
              <w:rPr>
                <w:rStyle w:val="Hyperlink"/>
                <w:rFonts w:asciiTheme="minorHAnsi" w:hAnsiTheme="minorHAnsi" w:cstheme="minorHAnsi"/>
                <w:noProof/>
                <w:color w:val="2A4D77"/>
              </w:rPr>
              <w:t>V.</w:t>
            </w:r>
            <w:r w:rsidR="00B10C7F" w:rsidRPr="00B10C7F">
              <w:rPr>
                <w:rFonts w:asciiTheme="minorHAnsi" w:eastAsiaTheme="minorEastAsia" w:hAnsiTheme="minorHAnsi" w:cstheme="minorHAnsi"/>
                <w:b w:val="0"/>
                <w:bCs w:val="0"/>
                <w:noProof/>
                <w:color w:val="2A4D77"/>
                <w:sz w:val="22"/>
                <w:szCs w:val="22"/>
              </w:rPr>
              <w:tab/>
            </w:r>
            <w:r w:rsidR="00B10C7F" w:rsidRPr="00B10C7F">
              <w:rPr>
                <w:rStyle w:val="Hyperlink"/>
                <w:rFonts w:asciiTheme="minorHAnsi" w:hAnsiTheme="minorHAnsi" w:cstheme="minorHAnsi"/>
                <w:noProof/>
                <w:color w:val="2A4D77"/>
              </w:rPr>
              <w:t>Dispensing 340B Drugs Through Contracted Pharmacies</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_Toc53580952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4</w:t>
            </w:r>
            <w:r w:rsidR="00B10C7F" w:rsidRPr="00B10C7F">
              <w:rPr>
                <w:rFonts w:asciiTheme="minorHAnsi" w:hAnsiTheme="minorHAnsi" w:cstheme="minorHAnsi"/>
                <w:noProof/>
                <w:webHidden/>
                <w:color w:val="2A4D77"/>
              </w:rPr>
              <w:fldChar w:fldCharType="end"/>
            </w:r>
          </w:hyperlink>
        </w:p>
        <w:p w14:paraId="25559616" w14:textId="0A3D7CC1" w:rsidR="00B10C7F" w:rsidRPr="00B10C7F" w:rsidRDefault="00A506BC" w:rsidP="000A5A47">
          <w:pPr>
            <w:pStyle w:val="TOC1"/>
            <w:tabs>
              <w:tab w:val="left" w:pos="660"/>
              <w:tab w:val="right" w:leader="dot" w:pos="9350"/>
            </w:tabs>
            <w:jc w:val="both"/>
            <w:rPr>
              <w:rFonts w:asciiTheme="minorHAnsi" w:eastAsiaTheme="minorEastAsia" w:hAnsiTheme="minorHAnsi" w:cstheme="minorHAnsi"/>
              <w:b w:val="0"/>
              <w:bCs w:val="0"/>
              <w:noProof/>
              <w:color w:val="2A4D77"/>
              <w:sz w:val="22"/>
              <w:szCs w:val="22"/>
            </w:rPr>
          </w:pPr>
          <w:hyperlink w:anchor="_Toc53580953" w:history="1">
            <w:r w:rsidR="00B10C7F" w:rsidRPr="00B10C7F">
              <w:rPr>
                <w:rStyle w:val="Hyperlink"/>
                <w:rFonts w:asciiTheme="minorHAnsi" w:hAnsiTheme="minorHAnsi" w:cstheme="minorHAnsi"/>
                <w:noProof/>
                <w:color w:val="2A4D77"/>
              </w:rPr>
              <w:t>VI.</w:t>
            </w:r>
            <w:r w:rsidR="00B10C7F" w:rsidRPr="00B10C7F">
              <w:rPr>
                <w:rFonts w:asciiTheme="minorHAnsi" w:eastAsiaTheme="minorEastAsia" w:hAnsiTheme="minorHAnsi" w:cstheme="minorHAnsi"/>
                <w:b w:val="0"/>
                <w:bCs w:val="0"/>
                <w:noProof/>
                <w:color w:val="2A4D77"/>
                <w:sz w:val="22"/>
                <w:szCs w:val="22"/>
              </w:rPr>
              <w:tab/>
            </w:r>
            <w:r w:rsidR="00B10C7F" w:rsidRPr="00B10C7F">
              <w:rPr>
                <w:rStyle w:val="Hyperlink"/>
                <w:rFonts w:asciiTheme="minorHAnsi" w:hAnsiTheme="minorHAnsi" w:cstheme="minorHAnsi"/>
                <w:noProof/>
                <w:color w:val="2A4D77"/>
              </w:rPr>
              <w:t>The Importance of Compliance with the Program</w:t>
            </w:r>
            <w:r w:rsidR="00B10C7F" w:rsidRPr="00B10C7F">
              <w:rPr>
                <w:rFonts w:asciiTheme="minorHAnsi" w:hAnsiTheme="minorHAnsi" w:cstheme="minorHAnsi"/>
                <w:noProof/>
                <w:webHidden/>
                <w:color w:val="2A4D77"/>
              </w:rPr>
              <w:tab/>
            </w:r>
            <w:r w:rsidR="00B10C7F" w:rsidRPr="00B10C7F">
              <w:rPr>
                <w:rFonts w:asciiTheme="minorHAnsi" w:hAnsiTheme="minorHAnsi" w:cstheme="minorHAnsi"/>
                <w:noProof/>
                <w:webHidden/>
                <w:color w:val="2A4D77"/>
              </w:rPr>
              <w:fldChar w:fldCharType="begin"/>
            </w:r>
            <w:r w:rsidR="00B10C7F" w:rsidRPr="00B10C7F">
              <w:rPr>
                <w:rFonts w:asciiTheme="minorHAnsi" w:hAnsiTheme="minorHAnsi" w:cstheme="minorHAnsi"/>
                <w:noProof/>
                <w:webHidden/>
                <w:color w:val="2A4D77"/>
              </w:rPr>
              <w:instrText xml:space="preserve"> PAGEREF _Toc53580953 \h </w:instrText>
            </w:r>
            <w:r w:rsidR="00B10C7F" w:rsidRPr="00B10C7F">
              <w:rPr>
                <w:rFonts w:asciiTheme="minorHAnsi" w:hAnsiTheme="minorHAnsi" w:cstheme="minorHAnsi"/>
                <w:noProof/>
                <w:webHidden/>
                <w:color w:val="2A4D77"/>
              </w:rPr>
            </w:r>
            <w:r w:rsidR="00B10C7F" w:rsidRPr="00B10C7F">
              <w:rPr>
                <w:rFonts w:asciiTheme="minorHAnsi" w:hAnsiTheme="minorHAnsi" w:cstheme="minorHAnsi"/>
                <w:noProof/>
                <w:webHidden/>
                <w:color w:val="2A4D77"/>
              </w:rPr>
              <w:fldChar w:fldCharType="separate"/>
            </w:r>
            <w:r w:rsidR="009200DF">
              <w:rPr>
                <w:rFonts w:asciiTheme="minorHAnsi" w:hAnsiTheme="minorHAnsi" w:cstheme="minorHAnsi"/>
                <w:noProof/>
                <w:webHidden/>
                <w:color w:val="2A4D77"/>
              </w:rPr>
              <w:t>5</w:t>
            </w:r>
            <w:r w:rsidR="00B10C7F" w:rsidRPr="00B10C7F">
              <w:rPr>
                <w:rFonts w:asciiTheme="minorHAnsi" w:hAnsiTheme="minorHAnsi" w:cstheme="minorHAnsi"/>
                <w:noProof/>
                <w:webHidden/>
                <w:color w:val="2A4D77"/>
              </w:rPr>
              <w:fldChar w:fldCharType="end"/>
            </w:r>
          </w:hyperlink>
        </w:p>
        <w:p w14:paraId="5F6B8123" w14:textId="710B6CE8" w:rsidR="00B10C7F" w:rsidRPr="00B10C7F" w:rsidRDefault="00A506BC" w:rsidP="000A5A47">
          <w:pPr>
            <w:pStyle w:val="TOC1"/>
            <w:tabs>
              <w:tab w:val="left" w:pos="880"/>
              <w:tab w:val="right" w:leader="dot" w:pos="9350"/>
            </w:tabs>
            <w:jc w:val="both"/>
            <w:rPr>
              <w:rFonts w:asciiTheme="minorHAnsi" w:eastAsiaTheme="minorEastAsia" w:hAnsiTheme="minorHAnsi" w:cstheme="minorHAnsi"/>
              <w:b w:val="0"/>
              <w:bCs w:val="0"/>
              <w:noProof/>
              <w:color w:val="2A4D77"/>
              <w:sz w:val="22"/>
              <w:szCs w:val="22"/>
            </w:rPr>
          </w:pPr>
          <w:hyperlink w:anchor="_Toc53580954" w:history="1">
            <w:r w:rsidR="00B10C7F" w:rsidRPr="00B10C7F">
              <w:rPr>
                <w:rStyle w:val="Hyperlink"/>
                <w:rFonts w:asciiTheme="minorHAnsi" w:hAnsiTheme="minorHAnsi" w:cstheme="minorHAnsi"/>
                <w:noProof/>
                <w:color w:val="2A4D77"/>
              </w:rPr>
              <w:t xml:space="preserve">VII.  </w:t>
            </w:r>
            <w:r w:rsidR="00B10C7F">
              <w:rPr>
                <w:rStyle w:val="Hyperlink"/>
                <w:rFonts w:asciiTheme="minorHAnsi" w:hAnsiTheme="minorHAnsi" w:cstheme="minorHAnsi"/>
                <w:noProof/>
                <w:color w:val="2A4D77"/>
              </w:rPr>
              <w:t xml:space="preserve"> </w:t>
            </w:r>
            <w:r w:rsidR="00B10C7F" w:rsidRPr="00B10C7F">
              <w:rPr>
                <w:rStyle w:val="Hyperlink"/>
                <w:rFonts w:asciiTheme="minorHAnsi" w:hAnsiTheme="minorHAnsi" w:cstheme="minorHAnsi"/>
                <w:noProof/>
                <w:color w:val="2A4D77"/>
              </w:rPr>
              <w:t>Inherent Risk</w:t>
            </w:r>
            <w:r w:rsidR="00B12DDD">
              <w:rPr>
                <w:rStyle w:val="Hyperlink"/>
                <w:rFonts w:asciiTheme="minorHAnsi" w:hAnsiTheme="minorHAnsi" w:cstheme="minorHAnsi"/>
                <w:noProof/>
                <w:color w:val="2A4D77"/>
              </w:rPr>
              <w:t>s</w:t>
            </w:r>
            <w:r w:rsidR="00B10C7F" w:rsidRPr="00B10C7F">
              <w:rPr>
                <w:rStyle w:val="Hyperlink"/>
                <w:rFonts w:asciiTheme="minorHAnsi" w:hAnsiTheme="minorHAnsi" w:cstheme="minorHAnsi"/>
                <w:noProof/>
                <w:color w:val="2A4D77"/>
              </w:rPr>
              <w:t xml:space="preserve"> and Audit Steps to Review Compliance</w:t>
            </w:r>
            <w:r w:rsidR="00B10C7F" w:rsidRPr="00B10C7F">
              <w:rPr>
                <w:rFonts w:asciiTheme="minorHAnsi" w:hAnsiTheme="minorHAnsi" w:cstheme="minorHAnsi"/>
                <w:noProof/>
                <w:webHidden/>
                <w:color w:val="2A4D77"/>
              </w:rPr>
              <w:tab/>
            </w:r>
            <w:r w:rsidR="00D57C5D">
              <w:rPr>
                <w:rFonts w:asciiTheme="minorHAnsi" w:hAnsiTheme="minorHAnsi" w:cstheme="minorHAnsi"/>
                <w:noProof/>
                <w:webHidden/>
                <w:color w:val="2A4D77"/>
              </w:rPr>
              <w:t>6</w:t>
            </w:r>
          </w:hyperlink>
        </w:p>
        <w:p w14:paraId="3A460FEE" w14:textId="77777777" w:rsidR="000C01CD" w:rsidRPr="008563D8" w:rsidRDefault="0002202E" w:rsidP="000A5A47">
          <w:pPr>
            <w:jc w:val="both"/>
            <w:rPr>
              <w:rFonts w:cstheme="minorHAnsi"/>
              <w:color w:val="2A4D77"/>
            </w:rPr>
          </w:pPr>
          <w:r w:rsidRPr="00B10C7F">
            <w:rPr>
              <w:rFonts w:cstheme="minorHAnsi"/>
              <w:b/>
              <w:bCs/>
              <w:caps/>
              <w:color w:val="2A4D77"/>
              <w:sz w:val="32"/>
              <w:szCs w:val="24"/>
            </w:rPr>
            <w:fldChar w:fldCharType="end"/>
          </w:r>
        </w:p>
      </w:sdtContent>
    </w:sdt>
    <w:p w14:paraId="2CDDECBD" w14:textId="77777777" w:rsidR="00FB6C79" w:rsidRPr="009C1763" w:rsidRDefault="00FB6C79" w:rsidP="00614D96">
      <w:pPr>
        <w:pStyle w:val="Heading1"/>
        <w:rPr>
          <w:rFonts w:asciiTheme="minorHAnsi" w:hAnsiTheme="minorHAnsi" w:cstheme="minorHAnsi"/>
          <w:u w:val="none"/>
        </w:rPr>
      </w:pPr>
    </w:p>
    <w:p w14:paraId="58CFC8E1" w14:textId="77777777" w:rsidR="00CD2294" w:rsidRDefault="00CD2294">
      <w:pPr>
        <w:rPr>
          <w:rFonts w:eastAsia="Arial" w:cstheme="minorHAnsi"/>
          <w:b/>
          <w:sz w:val="28"/>
          <w:szCs w:val="26"/>
        </w:rPr>
      </w:pPr>
      <w:r>
        <w:rPr>
          <w:rFonts w:cstheme="minorHAnsi"/>
        </w:rPr>
        <w:br w:type="page"/>
      </w:r>
    </w:p>
    <w:p w14:paraId="365A3EC0" w14:textId="77777777" w:rsidR="005721E9" w:rsidRPr="00CD2294" w:rsidRDefault="00C5718E" w:rsidP="00C5718E">
      <w:pPr>
        <w:pStyle w:val="Heading1"/>
        <w:numPr>
          <w:ilvl w:val="0"/>
          <w:numId w:val="26"/>
        </w:numPr>
        <w:rPr>
          <w:rFonts w:asciiTheme="minorHAnsi" w:hAnsiTheme="minorHAnsi" w:cstheme="minorHAnsi"/>
          <w:color w:val="2A4D77"/>
        </w:rPr>
      </w:pPr>
      <w:bookmarkStart w:id="0" w:name="_Toc53580948"/>
      <w:r w:rsidRPr="00CD2294">
        <w:rPr>
          <w:rFonts w:asciiTheme="minorHAnsi" w:hAnsiTheme="minorHAnsi" w:cstheme="minorHAnsi"/>
          <w:color w:val="2A4D77"/>
        </w:rPr>
        <w:lastRenderedPageBreak/>
        <w:t>Abstract</w:t>
      </w:r>
      <w:bookmarkEnd w:id="0"/>
    </w:p>
    <w:p w14:paraId="3F260B84" w14:textId="77777777" w:rsidR="00C5718E" w:rsidRPr="009C1763" w:rsidRDefault="00C5718E" w:rsidP="00C5718E">
      <w:pPr>
        <w:pStyle w:val="Heading1"/>
        <w:rPr>
          <w:rFonts w:asciiTheme="minorHAnsi" w:hAnsiTheme="minorHAnsi" w:cstheme="minorHAnsi"/>
        </w:rPr>
      </w:pPr>
    </w:p>
    <w:p w14:paraId="31949089" w14:textId="77777777" w:rsidR="00001EB5" w:rsidRPr="009C1763" w:rsidRDefault="00C5718E" w:rsidP="000A5A47">
      <w:pPr>
        <w:pStyle w:val="ListParagraph"/>
        <w:ind w:left="720"/>
        <w:jc w:val="both"/>
        <w:rPr>
          <w:rFonts w:cstheme="minorHAnsi"/>
        </w:rPr>
      </w:pPr>
      <w:bookmarkStart w:id="1" w:name="_Toc5009769"/>
      <w:bookmarkStart w:id="2" w:name="_Toc5009933"/>
      <w:bookmarkStart w:id="3" w:name="_Toc5010448"/>
      <w:r w:rsidRPr="009C1763">
        <w:rPr>
          <w:rFonts w:cstheme="minorHAnsi"/>
        </w:rPr>
        <w:t xml:space="preserve">The 340B Drug </w:t>
      </w:r>
      <w:r w:rsidR="008A4EA1" w:rsidRPr="009C1763">
        <w:rPr>
          <w:rFonts w:cstheme="minorHAnsi"/>
        </w:rPr>
        <w:t>Discount</w:t>
      </w:r>
      <w:r w:rsidRPr="009C1763">
        <w:rPr>
          <w:rFonts w:cstheme="minorHAnsi"/>
        </w:rPr>
        <w:t xml:space="preserve"> Program </w:t>
      </w:r>
      <w:r w:rsidRPr="00B12DDD">
        <w:rPr>
          <w:rFonts w:cstheme="minorHAnsi"/>
        </w:rPr>
        <w:t>offers safety net hospital</w:t>
      </w:r>
      <w:r w:rsidR="00301F23" w:rsidRPr="00B12DDD">
        <w:rPr>
          <w:rFonts w:cstheme="minorHAnsi"/>
        </w:rPr>
        <w:t>s</w:t>
      </w:r>
      <w:r w:rsidRPr="00B12DDD">
        <w:rPr>
          <w:rFonts w:cstheme="minorHAnsi"/>
        </w:rPr>
        <w:t xml:space="preserve"> and qualified hospital</w:t>
      </w:r>
      <w:r w:rsidR="00301F23" w:rsidRPr="00B12DDD">
        <w:rPr>
          <w:rFonts w:cstheme="minorHAnsi"/>
        </w:rPr>
        <w:t>s</w:t>
      </w:r>
      <w:r w:rsidRPr="00B12DDD">
        <w:rPr>
          <w:rFonts w:cstheme="minorHAnsi"/>
        </w:rPr>
        <w:t>/entities</w:t>
      </w:r>
      <w:r w:rsidRPr="00B12DDD">
        <w:rPr>
          <w:rFonts w:cstheme="minorHAnsi"/>
          <w:strike/>
        </w:rPr>
        <w:t>,</w:t>
      </w:r>
      <w:r w:rsidRPr="00B12DDD">
        <w:rPr>
          <w:rFonts w:cstheme="minorHAnsi"/>
        </w:rPr>
        <w:t xml:space="preserve"> with a cost saving mechanism to stretch scar</w:t>
      </w:r>
      <w:r w:rsidR="00053402" w:rsidRPr="00B12DDD">
        <w:rPr>
          <w:rFonts w:cstheme="minorHAnsi"/>
        </w:rPr>
        <w:t>c</w:t>
      </w:r>
      <w:r w:rsidRPr="00B12DDD">
        <w:rPr>
          <w:rFonts w:cstheme="minorHAnsi"/>
        </w:rPr>
        <w:t>e resource</w:t>
      </w:r>
      <w:r w:rsidR="00301F23" w:rsidRPr="00B12DDD">
        <w:rPr>
          <w:rFonts w:cstheme="minorHAnsi"/>
        </w:rPr>
        <w:t>s</w:t>
      </w:r>
      <w:r w:rsidRPr="00B12DDD">
        <w:rPr>
          <w:rFonts w:cstheme="minorHAnsi"/>
        </w:rPr>
        <w:t xml:space="preserve">, by </w:t>
      </w:r>
      <w:r w:rsidR="009E1FB9" w:rsidRPr="00B12DDD">
        <w:rPr>
          <w:rFonts w:cstheme="minorHAnsi"/>
        </w:rPr>
        <w:t xml:space="preserve">requiring drug </w:t>
      </w:r>
      <w:r w:rsidR="00964381" w:rsidRPr="00B12DDD">
        <w:rPr>
          <w:rFonts w:cstheme="minorHAnsi"/>
        </w:rPr>
        <w:t xml:space="preserve">manufacturers participating in </w:t>
      </w:r>
      <w:r w:rsidR="00EE594F" w:rsidRPr="00B12DDD">
        <w:rPr>
          <w:rFonts w:cstheme="minorHAnsi"/>
        </w:rPr>
        <w:t>the p</w:t>
      </w:r>
      <w:r w:rsidR="00964381" w:rsidRPr="00B12DDD">
        <w:rPr>
          <w:rFonts w:cstheme="minorHAnsi"/>
        </w:rPr>
        <w:t xml:space="preserve">rogram </w:t>
      </w:r>
      <w:r w:rsidR="009E1FB9" w:rsidRPr="00B12DDD">
        <w:rPr>
          <w:rFonts w:cstheme="minorHAnsi"/>
        </w:rPr>
        <w:t xml:space="preserve">to sell outpatient drugs at discounted </w:t>
      </w:r>
      <w:r w:rsidR="009E1FB9" w:rsidRPr="009C1763">
        <w:rPr>
          <w:rFonts w:cstheme="minorHAnsi"/>
        </w:rPr>
        <w:t>prices</w:t>
      </w:r>
      <w:r w:rsidRPr="009C1763">
        <w:rPr>
          <w:rFonts w:cstheme="minorHAnsi"/>
        </w:rPr>
        <w:t>.</w:t>
      </w:r>
      <w:r w:rsidR="009E1FB9" w:rsidRPr="009C1763">
        <w:rPr>
          <w:rFonts w:cstheme="minorHAnsi"/>
        </w:rPr>
        <w:t xml:space="preserve"> Based on an article released on July 2017</w:t>
      </w:r>
      <w:r w:rsidR="00B12DDD">
        <w:rPr>
          <w:rFonts w:cstheme="minorHAnsi"/>
        </w:rPr>
        <w:t>,</w:t>
      </w:r>
      <w:r w:rsidR="009E1FB9" w:rsidRPr="009C1763">
        <w:rPr>
          <w:rFonts w:cstheme="minorHAnsi"/>
        </w:rPr>
        <w:t xml:space="preserve"> by the United States Government Accountability Office, covered entities can realize substantial savings of an estimated 20 to 50 percent of drug cost. As such, it is </w:t>
      </w:r>
      <w:r w:rsidR="00001EB5" w:rsidRPr="009C1763">
        <w:rPr>
          <w:rFonts w:cstheme="minorHAnsi"/>
        </w:rPr>
        <w:t>imperative that</w:t>
      </w:r>
      <w:r w:rsidR="009E1FB9" w:rsidRPr="009C1763">
        <w:rPr>
          <w:rFonts w:cstheme="minorHAnsi"/>
        </w:rPr>
        <w:t xml:space="preserve"> covered entities who participate in the program comply with the guidelines set by the </w:t>
      </w:r>
      <w:r w:rsidR="00001EB5" w:rsidRPr="009C1763">
        <w:rPr>
          <w:rFonts w:cstheme="minorHAnsi"/>
        </w:rPr>
        <w:t>Health Resources and Services Administration (“HRSA”).</w:t>
      </w:r>
      <w:bookmarkEnd w:id="1"/>
      <w:bookmarkEnd w:id="2"/>
      <w:bookmarkEnd w:id="3"/>
      <w:r w:rsidR="00001EB5" w:rsidRPr="009C1763">
        <w:rPr>
          <w:rFonts w:cstheme="minorHAnsi"/>
        </w:rPr>
        <w:t xml:space="preserve"> </w:t>
      </w:r>
    </w:p>
    <w:p w14:paraId="2B79997C" w14:textId="77777777" w:rsidR="00001EB5" w:rsidRPr="009C1763" w:rsidRDefault="00001EB5" w:rsidP="000A5A47">
      <w:pPr>
        <w:pStyle w:val="ListParagraph"/>
        <w:ind w:left="720"/>
        <w:jc w:val="both"/>
        <w:rPr>
          <w:rFonts w:cstheme="minorHAnsi"/>
        </w:rPr>
      </w:pPr>
    </w:p>
    <w:p w14:paraId="7301E8FC" w14:textId="77777777" w:rsidR="00BF0EC2" w:rsidRPr="009C1763" w:rsidRDefault="00001EB5" w:rsidP="000A5A47">
      <w:pPr>
        <w:pStyle w:val="ListParagraph"/>
        <w:ind w:left="720"/>
        <w:jc w:val="both"/>
        <w:rPr>
          <w:rFonts w:cstheme="minorHAnsi"/>
          <w:b/>
        </w:rPr>
      </w:pPr>
      <w:bookmarkStart w:id="4" w:name="_Toc5009770"/>
      <w:bookmarkStart w:id="5" w:name="_Toc5009934"/>
      <w:bookmarkStart w:id="6" w:name="_Toc5010449"/>
      <w:r w:rsidRPr="009C1763">
        <w:rPr>
          <w:rFonts w:cstheme="minorHAnsi"/>
        </w:rPr>
        <w:t>This paper will provide a guide as to possible inherent risk</w:t>
      </w:r>
      <w:r w:rsidR="00053402" w:rsidRPr="009C1763">
        <w:rPr>
          <w:rFonts w:cstheme="minorHAnsi"/>
        </w:rPr>
        <w:t>s</w:t>
      </w:r>
      <w:r w:rsidRPr="009C1763">
        <w:rPr>
          <w:rFonts w:cstheme="minorHAnsi"/>
        </w:rPr>
        <w:t xml:space="preserve"> that could occur with the deployment of the program</w:t>
      </w:r>
      <w:r w:rsidR="00301F23" w:rsidRPr="00B12DDD">
        <w:rPr>
          <w:rFonts w:cstheme="minorHAnsi"/>
          <w:color w:val="FF0000"/>
        </w:rPr>
        <w:t>,</w:t>
      </w:r>
      <w:r w:rsidRPr="009C1763">
        <w:rPr>
          <w:rFonts w:cstheme="minorHAnsi"/>
        </w:rPr>
        <w:t xml:space="preserve"> as well as suggested audit steps that should be considered when reviewing compliance with the program.</w:t>
      </w:r>
      <w:bookmarkEnd w:id="4"/>
      <w:bookmarkEnd w:id="5"/>
      <w:bookmarkEnd w:id="6"/>
    </w:p>
    <w:p w14:paraId="2B53FB91" w14:textId="77777777" w:rsidR="00001EB5" w:rsidRPr="009C1763" w:rsidRDefault="00001EB5" w:rsidP="009E1FB9">
      <w:pPr>
        <w:pStyle w:val="Heading1"/>
        <w:ind w:left="720"/>
        <w:rPr>
          <w:rFonts w:asciiTheme="minorHAnsi" w:hAnsiTheme="minorHAnsi" w:cstheme="minorHAnsi"/>
          <w:b w:val="0"/>
          <w:sz w:val="22"/>
          <w:szCs w:val="22"/>
          <w:u w:val="none"/>
        </w:rPr>
      </w:pPr>
    </w:p>
    <w:p w14:paraId="4FE6B26E" w14:textId="77777777" w:rsidR="005721E9" w:rsidRPr="00CD2294" w:rsidRDefault="00001EB5" w:rsidP="00001EB5">
      <w:pPr>
        <w:pStyle w:val="Heading1"/>
        <w:numPr>
          <w:ilvl w:val="0"/>
          <w:numId w:val="26"/>
        </w:numPr>
        <w:rPr>
          <w:rFonts w:asciiTheme="minorHAnsi" w:hAnsiTheme="minorHAnsi" w:cstheme="minorHAnsi"/>
          <w:color w:val="2A4D77"/>
        </w:rPr>
      </w:pPr>
      <w:bookmarkStart w:id="7" w:name="_Toc53580949"/>
      <w:r w:rsidRPr="00CD2294">
        <w:rPr>
          <w:rFonts w:asciiTheme="minorHAnsi" w:hAnsiTheme="minorHAnsi" w:cstheme="minorHAnsi"/>
          <w:color w:val="2A4D77"/>
        </w:rPr>
        <w:t xml:space="preserve">What </w:t>
      </w:r>
      <w:r w:rsidR="005E3097" w:rsidRPr="00CD2294">
        <w:rPr>
          <w:rFonts w:asciiTheme="minorHAnsi" w:hAnsiTheme="minorHAnsi" w:cstheme="minorHAnsi"/>
          <w:color w:val="2A4D77"/>
        </w:rPr>
        <w:t>i</w:t>
      </w:r>
      <w:r w:rsidRPr="00CD2294">
        <w:rPr>
          <w:rFonts w:asciiTheme="minorHAnsi" w:hAnsiTheme="minorHAnsi" w:cstheme="minorHAnsi"/>
          <w:color w:val="2A4D77"/>
        </w:rPr>
        <w:t xml:space="preserve">s </w:t>
      </w:r>
      <w:r w:rsidR="005E3097" w:rsidRPr="00CD2294">
        <w:rPr>
          <w:rFonts w:asciiTheme="minorHAnsi" w:hAnsiTheme="minorHAnsi" w:cstheme="minorHAnsi"/>
          <w:color w:val="2A4D77"/>
        </w:rPr>
        <w:t>t</w:t>
      </w:r>
      <w:r w:rsidRPr="00CD2294">
        <w:rPr>
          <w:rFonts w:asciiTheme="minorHAnsi" w:hAnsiTheme="minorHAnsi" w:cstheme="minorHAnsi"/>
          <w:color w:val="2A4D77"/>
        </w:rPr>
        <w:t>he 340B Program</w:t>
      </w:r>
      <w:bookmarkEnd w:id="7"/>
    </w:p>
    <w:p w14:paraId="60580E1C" w14:textId="77777777" w:rsidR="00001EB5" w:rsidRPr="009C1763" w:rsidRDefault="00001EB5" w:rsidP="00001EB5">
      <w:pPr>
        <w:pStyle w:val="ListParagraph"/>
        <w:ind w:left="720"/>
        <w:rPr>
          <w:rFonts w:cstheme="minorHAnsi"/>
        </w:rPr>
      </w:pPr>
    </w:p>
    <w:p w14:paraId="2D223472" w14:textId="77777777" w:rsidR="00337F67" w:rsidRPr="009C1763" w:rsidRDefault="00001EB5" w:rsidP="000A5A47">
      <w:pPr>
        <w:pStyle w:val="ListParagraph"/>
        <w:ind w:left="720"/>
        <w:jc w:val="both"/>
        <w:rPr>
          <w:rFonts w:cstheme="minorHAnsi"/>
        </w:rPr>
      </w:pPr>
      <w:r w:rsidRPr="009C1763">
        <w:rPr>
          <w:rFonts w:cstheme="minorHAnsi"/>
        </w:rPr>
        <w:t>In 1992, Congress enacted Section 340B of the Public Health Service Act</w:t>
      </w:r>
      <w:r w:rsidR="00BD4632" w:rsidRPr="009C1763">
        <w:rPr>
          <w:rFonts w:cstheme="minorHAnsi"/>
        </w:rPr>
        <w:t xml:space="preserve"> </w:t>
      </w:r>
      <w:r w:rsidRPr="009C1763">
        <w:rPr>
          <w:rFonts w:cstheme="minorHAnsi"/>
        </w:rPr>
        <w:t>to provide relief to covered entities for high drug cost. The intent of the program is to enable these entities to stretch limited resources while providing comprehensive care/services. Under the 340B program, covered entities have the opportunity to obtain significantly reduced outpatient</w:t>
      </w:r>
      <w:r w:rsidR="00F707DB" w:rsidRPr="009C1763">
        <w:rPr>
          <w:rFonts w:cstheme="minorHAnsi"/>
        </w:rPr>
        <w:t xml:space="preserve"> drug prices from participating manufacturers. </w:t>
      </w:r>
    </w:p>
    <w:p w14:paraId="1442BEF3" w14:textId="77777777" w:rsidR="0099298B" w:rsidRDefault="0099298B" w:rsidP="00E96827">
      <w:pPr>
        <w:widowControl/>
        <w:contextualSpacing/>
        <w:jc w:val="both"/>
        <w:rPr>
          <w:rFonts w:eastAsia="Calibri" w:cstheme="minorHAnsi"/>
        </w:rPr>
      </w:pPr>
    </w:p>
    <w:p w14:paraId="5FA43955" w14:textId="77777777" w:rsidR="00CD2294" w:rsidRPr="009C1763" w:rsidRDefault="00CD2294" w:rsidP="00E96827">
      <w:pPr>
        <w:widowControl/>
        <w:contextualSpacing/>
        <w:jc w:val="both"/>
        <w:rPr>
          <w:rFonts w:eastAsia="Calibri" w:cstheme="minorHAnsi"/>
        </w:rPr>
      </w:pPr>
    </w:p>
    <w:p w14:paraId="3A384F8A" w14:textId="77777777" w:rsidR="00E96827" w:rsidRPr="00CD2294" w:rsidRDefault="00001EB5" w:rsidP="00001EB5">
      <w:pPr>
        <w:pStyle w:val="Heading1"/>
        <w:numPr>
          <w:ilvl w:val="0"/>
          <w:numId w:val="26"/>
        </w:numPr>
        <w:rPr>
          <w:rFonts w:asciiTheme="minorHAnsi" w:hAnsiTheme="minorHAnsi" w:cstheme="minorHAnsi"/>
          <w:color w:val="2A4D77"/>
        </w:rPr>
      </w:pPr>
      <w:bookmarkStart w:id="8" w:name="_Toc53580950"/>
      <w:r w:rsidRPr="00CD2294">
        <w:rPr>
          <w:rFonts w:asciiTheme="minorHAnsi" w:hAnsiTheme="minorHAnsi" w:cstheme="minorHAnsi"/>
          <w:color w:val="2A4D77"/>
        </w:rPr>
        <w:t xml:space="preserve">Who Administers </w:t>
      </w:r>
      <w:r w:rsidR="009054B5" w:rsidRPr="00CD2294">
        <w:rPr>
          <w:rFonts w:asciiTheme="minorHAnsi" w:hAnsiTheme="minorHAnsi" w:cstheme="minorHAnsi"/>
          <w:color w:val="2A4D77"/>
        </w:rPr>
        <w:t>t</w:t>
      </w:r>
      <w:r w:rsidRPr="00CD2294">
        <w:rPr>
          <w:rFonts w:asciiTheme="minorHAnsi" w:hAnsiTheme="minorHAnsi" w:cstheme="minorHAnsi"/>
          <w:color w:val="2A4D77"/>
        </w:rPr>
        <w:t xml:space="preserve">he Program &amp; How Does </w:t>
      </w:r>
      <w:r w:rsidR="009054B5" w:rsidRPr="00CD2294">
        <w:rPr>
          <w:rFonts w:asciiTheme="minorHAnsi" w:hAnsiTheme="minorHAnsi" w:cstheme="minorHAnsi"/>
          <w:color w:val="2A4D77"/>
        </w:rPr>
        <w:t>i</w:t>
      </w:r>
      <w:r w:rsidRPr="00CD2294">
        <w:rPr>
          <w:rFonts w:asciiTheme="minorHAnsi" w:hAnsiTheme="minorHAnsi" w:cstheme="minorHAnsi"/>
          <w:color w:val="2A4D77"/>
        </w:rPr>
        <w:t>t Work</w:t>
      </w:r>
      <w:bookmarkEnd w:id="8"/>
    </w:p>
    <w:p w14:paraId="1D503CEC" w14:textId="77777777" w:rsidR="00001EB5" w:rsidRPr="009C1763" w:rsidRDefault="00001EB5" w:rsidP="00001EB5">
      <w:pPr>
        <w:pStyle w:val="Heading1"/>
        <w:ind w:left="720"/>
        <w:rPr>
          <w:rFonts w:asciiTheme="minorHAnsi" w:hAnsiTheme="minorHAnsi" w:cstheme="minorHAnsi"/>
        </w:rPr>
      </w:pPr>
    </w:p>
    <w:p w14:paraId="2A3DF0C5" w14:textId="77777777" w:rsidR="00F707DB" w:rsidRPr="009C1763" w:rsidRDefault="00001EB5" w:rsidP="000A5A47">
      <w:pPr>
        <w:ind w:left="720"/>
        <w:jc w:val="both"/>
        <w:rPr>
          <w:rFonts w:cstheme="minorHAnsi"/>
        </w:rPr>
      </w:pPr>
      <w:r w:rsidRPr="009C1763">
        <w:rPr>
          <w:rFonts w:cstheme="minorHAnsi"/>
        </w:rPr>
        <w:t>The Office of Pharmacy Affairs (“OPA”)</w:t>
      </w:r>
      <w:r w:rsidR="009054B5" w:rsidRPr="009C1763">
        <w:rPr>
          <w:rFonts w:cstheme="minorHAnsi"/>
        </w:rPr>
        <w:t xml:space="preserve">, </w:t>
      </w:r>
      <w:r w:rsidRPr="009C1763">
        <w:rPr>
          <w:rFonts w:cstheme="minorHAnsi"/>
        </w:rPr>
        <w:t>which is located within HRSA</w:t>
      </w:r>
      <w:r w:rsidR="009054B5" w:rsidRPr="009C1763">
        <w:rPr>
          <w:rFonts w:cstheme="minorHAnsi"/>
        </w:rPr>
        <w:t>,</w:t>
      </w:r>
      <w:r w:rsidRPr="009C1763">
        <w:rPr>
          <w:rFonts w:cstheme="minorHAnsi"/>
        </w:rPr>
        <w:t xml:space="preserve"> oversees the program. Both OPA and HRSA are responsible for interpreting and implementing the 340B law. </w:t>
      </w:r>
      <w:r w:rsidR="00F707DB" w:rsidRPr="009C1763">
        <w:rPr>
          <w:rFonts w:cstheme="minorHAnsi"/>
        </w:rPr>
        <w:t xml:space="preserve">Therefore, </w:t>
      </w:r>
      <w:r w:rsidRPr="009C1763">
        <w:rPr>
          <w:rFonts w:cstheme="minorHAnsi"/>
        </w:rPr>
        <w:t>to participate in the program</w:t>
      </w:r>
      <w:r w:rsidR="00053402" w:rsidRPr="009C1763">
        <w:rPr>
          <w:rFonts w:cstheme="minorHAnsi"/>
        </w:rPr>
        <w:t>,</w:t>
      </w:r>
      <w:r w:rsidRPr="009C1763">
        <w:rPr>
          <w:rFonts w:cstheme="minorHAnsi"/>
        </w:rPr>
        <w:t xml:space="preserve"> institutions </w:t>
      </w:r>
      <w:r w:rsidR="00053402" w:rsidRPr="009C1763">
        <w:rPr>
          <w:rFonts w:cstheme="minorHAnsi"/>
        </w:rPr>
        <w:t xml:space="preserve">must </w:t>
      </w:r>
      <w:r w:rsidRPr="009C1763">
        <w:rPr>
          <w:rFonts w:cstheme="minorHAnsi"/>
        </w:rPr>
        <w:t>meet the program requirements</w:t>
      </w:r>
      <w:r w:rsidR="00F707DB" w:rsidRPr="009C1763">
        <w:rPr>
          <w:rFonts w:cstheme="minorHAnsi"/>
        </w:rPr>
        <w:t xml:space="preserve"> listed below:</w:t>
      </w:r>
    </w:p>
    <w:p w14:paraId="254A7089" w14:textId="77777777" w:rsidR="00F707DB" w:rsidRPr="009C1763" w:rsidRDefault="00F707DB" w:rsidP="000A5A47">
      <w:pPr>
        <w:ind w:left="720"/>
        <w:jc w:val="both"/>
        <w:rPr>
          <w:rFonts w:cstheme="minorHAnsi"/>
        </w:rPr>
      </w:pPr>
    </w:p>
    <w:p w14:paraId="33CC0FBD" w14:textId="77777777" w:rsidR="00F707DB" w:rsidRPr="009C1763" w:rsidRDefault="00012839" w:rsidP="000A5A47">
      <w:pPr>
        <w:pStyle w:val="ListParagraph"/>
        <w:numPr>
          <w:ilvl w:val="0"/>
          <w:numId w:val="32"/>
        </w:numPr>
        <w:jc w:val="both"/>
        <w:rPr>
          <w:rFonts w:cstheme="minorHAnsi"/>
        </w:rPr>
      </w:pPr>
      <w:r w:rsidRPr="009C1763">
        <w:rPr>
          <w:rFonts w:cstheme="minorHAnsi"/>
        </w:rPr>
        <w:t>The i</w:t>
      </w:r>
      <w:r w:rsidR="00053402" w:rsidRPr="009C1763">
        <w:rPr>
          <w:rFonts w:cstheme="minorHAnsi"/>
        </w:rPr>
        <w:t>nstitution</w:t>
      </w:r>
      <w:r w:rsidR="00F707DB" w:rsidRPr="009C1763">
        <w:rPr>
          <w:rFonts w:cstheme="minorHAnsi"/>
        </w:rPr>
        <w:t xml:space="preserve"> should</w:t>
      </w:r>
      <w:r w:rsidR="00053402" w:rsidRPr="009C1763">
        <w:rPr>
          <w:rFonts w:cstheme="minorHAnsi"/>
        </w:rPr>
        <w:t xml:space="preserve"> be </w:t>
      </w:r>
      <w:r w:rsidR="00F707DB" w:rsidRPr="009C1763">
        <w:rPr>
          <w:rFonts w:cstheme="minorHAnsi"/>
        </w:rPr>
        <w:t>considered a</w:t>
      </w:r>
      <w:r w:rsidR="00053402" w:rsidRPr="009C1763">
        <w:rPr>
          <w:rFonts w:cstheme="minorHAnsi"/>
        </w:rPr>
        <w:t xml:space="preserve"> </w:t>
      </w:r>
      <w:r w:rsidR="00001EB5" w:rsidRPr="009C1763">
        <w:rPr>
          <w:rFonts w:cstheme="minorHAnsi"/>
        </w:rPr>
        <w:t>“covered entity”</w:t>
      </w:r>
      <w:r w:rsidR="00001EB5" w:rsidRPr="00B10C7F">
        <w:rPr>
          <w:rStyle w:val="FootnoteReference"/>
          <w:rFonts w:cstheme="minorHAnsi"/>
          <w:color w:val="2A4D77"/>
        </w:rPr>
        <w:footnoteReference w:id="1"/>
      </w:r>
      <w:r w:rsidR="00001EB5" w:rsidRPr="009C1763">
        <w:rPr>
          <w:rFonts w:cstheme="minorHAnsi"/>
        </w:rPr>
        <w:t xml:space="preserve"> and </w:t>
      </w:r>
      <w:r w:rsidR="00E91719" w:rsidRPr="009C1763">
        <w:rPr>
          <w:rFonts w:cstheme="minorHAnsi"/>
        </w:rPr>
        <w:t>must</w:t>
      </w:r>
      <w:r w:rsidR="00F707DB" w:rsidRPr="009C1763">
        <w:rPr>
          <w:rFonts w:cstheme="minorHAnsi"/>
        </w:rPr>
        <w:t xml:space="preserve"> </w:t>
      </w:r>
      <w:r w:rsidR="00001EB5" w:rsidRPr="009C1763">
        <w:rPr>
          <w:rFonts w:cstheme="minorHAnsi"/>
        </w:rPr>
        <w:t xml:space="preserve">apply to participate in the program through the 340B online registration portal, which takes place during the first two weeks of a calendar </w:t>
      </w:r>
      <w:r w:rsidR="00001EB5" w:rsidRPr="00B12DDD">
        <w:rPr>
          <w:rFonts w:cstheme="minorHAnsi"/>
        </w:rPr>
        <w:t xml:space="preserve">quarter ( </w:t>
      </w:r>
      <w:r w:rsidR="00301F23" w:rsidRPr="00B12DDD">
        <w:rPr>
          <w:rFonts w:cstheme="minorHAnsi"/>
        </w:rPr>
        <w:t xml:space="preserve">i.e., </w:t>
      </w:r>
      <w:r w:rsidR="00001EB5" w:rsidRPr="00B12DDD">
        <w:rPr>
          <w:rFonts w:cstheme="minorHAnsi"/>
        </w:rPr>
        <w:t>January 1 - 15, April 1 -15, July 1- 15, October 1- 15).</w:t>
      </w:r>
      <w:r w:rsidR="00387501" w:rsidRPr="00B12DDD">
        <w:rPr>
          <w:rFonts w:cstheme="minorHAnsi"/>
        </w:rPr>
        <w:t xml:space="preserve"> When applying online</w:t>
      </w:r>
      <w:r w:rsidR="00301F23" w:rsidRPr="00B12DDD">
        <w:rPr>
          <w:rFonts w:cstheme="minorHAnsi"/>
        </w:rPr>
        <w:t>,</w:t>
      </w:r>
      <w:r w:rsidR="00387501" w:rsidRPr="00B12DDD">
        <w:rPr>
          <w:rFonts w:cstheme="minorHAnsi"/>
        </w:rPr>
        <w:t xml:space="preserve"> the information capture</w:t>
      </w:r>
      <w:r w:rsidR="00301F23" w:rsidRPr="00B12DDD">
        <w:rPr>
          <w:rFonts w:cstheme="minorHAnsi"/>
        </w:rPr>
        <w:t>d</w:t>
      </w:r>
      <w:r w:rsidR="00387501" w:rsidRPr="00B12DDD">
        <w:rPr>
          <w:rFonts w:cstheme="minorHAnsi"/>
        </w:rPr>
        <w:t xml:space="preserve"> </w:t>
      </w:r>
      <w:r w:rsidR="00B12DDD" w:rsidRPr="00B12DDD">
        <w:rPr>
          <w:rFonts w:cstheme="minorHAnsi"/>
        </w:rPr>
        <w:t>within the</w:t>
      </w:r>
      <w:r w:rsidR="00387501" w:rsidRPr="00B12DDD">
        <w:rPr>
          <w:rFonts w:cstheme="minorHAnsi"/>
        </w:rPr>
        <w:t xml:space="preserve"> OPA </w:t>
      </w:r>
      <w:r w:rsidR="00387501" w:rsidRPr="009C1763">
        <w:rPr>
          <w:rFonts w:cstheme="minorHAnsi"/>
        </w:rPr>
        <w:t>database should be accurate, complete and include the exact addresses of child site clinics and contracted pharmacies.</w:t>
      </w:r>
    </w:p>
    <w:p w14:paraId="36848294" w14:textId="77777777" w:rsidR="00F707DB" w:rsidRPr="009C1763" w:rsidRDefault="00001EB5" w:rsidP="000A5A47">
      <w:pPr>
        <w:pStyle w:val="ListParagraph"/>
        <w:ind w:left="1800"/>
        <w:jc w:val="both"/>
        <w:rPr>
          <w:rFonts w:cstheme="minorHAnsi"/>
        </w:rPr>
      </w:pPr>
      <w:r w:rsidRPr="009C1763">
        <w:rPr>
          <w:rFonts w:cstheme="minorHAnsi"/>
        </w:rPr>
        <w:t xml:space="preserve"> </w:t>
      </w:r>
    </w:p>
    <w:p w14:paraId="14923518" w14:textId="77777777" w:rsidR="00423CB5" w:rsidRPr="009C1763" w:rsidRDefault="00F707DB" w:rsidP="000A5A47">
      <w:pPr>
        <w:pStyle w:val="ListParagraph"/>
        <w:numPr>
          <w:ilvl w:val="0"/>
          <w:numId w:val="32"/>
        </w:numPr>
        <w:jc w:val="both"/>
        <w:rPr>
          <w:rFonts w:cstheme="minorHAnsi"/>
        </w:rPr>
      </w:pPr>
      <w:r w:rsidRPr="009C1763">
        <w:rPr>
          <w:rFonts w:cstheme="minorHAnsi"/>
        </w:rPr>
        <w:t>T</w:t>
      </w:r>
      <w:r w:rsidR="00001EB5" w:rsidRPr="009C1763">
        <w:rPr>
          <w:rFonts w:cstheme="minorHAnsi"/>
        </w:rPr>
        <w:t xml:space="preserve">he covered entities </w:t>
      </w:r>
      <w:r w:rsidRPr="009C1763">
        <w:rPr>
          <w:rFonts w:cstheme="minorHAnsi"/>
        </w:rPr>
        <w:t xml:space="preserve">should </w:t>
      </w:r>
      <w:r w:rsidR="00001EB5" w:rsidRPr="009C1763">
        <w:rPr>
          <w:rFonts w:cstheme="minorHAnsi"/>
        </w:rPr>
        <w:t xml:space="preserve">recertify their eligibility every year and provide notification to OPA when there is a change in their eligibility status. Once approved and admitted into the program, the covered entities are eligible to receive covered outpatient drug discounts starting the first day after the next calendar quarter. Subsequently, the covered entity </w:t>
      </w:r>
      <w:r w:rsidR="00012839" w:rsidRPr="009C1763">
        <w:rPr>
          <w:rFonts w:cstheme="minorHAnsi"/>
        </w:rPr>
        <w:t xml:space="preserve">should </w:t>
      </w:r>
      <w:r w:rsidR="00001EB5" w:rsidRPr="009C1763">
        <w:rPr>
          <w:rFonts w:cstheme="minorHAnsi"/>
        </w:rPr>
        <w:t>notify drug manufacturers or wholesaler</w:t>
      </w:r>
      <w:r w:rsidR="00F27251" w:rsidRPr="009C1763">
        <w:rPr>
          <w:rFonts w:cstheme="minorHAnsi"/>
        </w:rPr>
        <w:t>s</w:t>
      </w:r>
      <w:r w:rsidR="00001EB5" w:rsidRPr="009C1763">
        <w:rPr>
          <w:rFonts w:cstheme="minorHAnsi"/>
        </w:rPr>
        <w:t xml:space="preserve"> that the entity </w:t>
      </w:r>
      <w:r w:rsidR="00012839" w:rsidRPr="009C1763">
        <w:rPr>
          <w:rFonts w:cstheme="minorHAnsi"/>
        </w:rPr>
        <w:t>would be</w:t>
      </w:r>
      <w:r w:rsidR="00001EB5" w:rsidRPr="009C1763">
        <w:rPr>
          <w:rFonts w:cstheme="minorHAnsi"/>
        </w:rPr>
        <w:t xml:space="preserve"> purchas</w:t>
      </w:r>
      <w:r w:rsidR="00012839" w:rsidRPr="009C1763">
        <w:rPr>
          <w:rFonts w:cstheme="minorHAnsi"/>
        </w:rPr>
        <w:t>ing</w:t>
      </w:r>
      <w:r w:rsidR="00001EB5" w:rsidRPr="009C1763">
        <w:rPr>
          <w:rFonts w:cstheme="minorHAnsi"/>
        </w:rPr>
        <w:t xml:space="preserve"> outpatient drugs at 340B prices.  </w:t>
      </w:r>
      <w:r w:rsidR="008A4EA1" w:rsidRPr="009C1763">
        <w:rPr>
          <w:rFonts w:cstheme="minorHAnsi"/>
        </w:rPr>
        <w:t xml:space="preserve">Additionally, </w:t>
      </w:r>
      <w:r w:rsidR="00423CB5" w:rsidRPr="009C1763">
        <w:rPr>
          <w:rFonts w:cstheme="minorHAnsi"/>
        </w:rPr>
        <w:t xml:space="preserve">HRSA also uses </w:t>
      </w:r>
      <w:r w:rsidR="00EB5C6C" w:rsidRPr="009C1763">
        <w:rPr>
          <w:rFonts w:cstheme="minorHAnsi"/>
        </w:rPr>
        <w:t>the</w:t>
      </w:r>
      <w:r w:rsidR="00423CB5" w:rsidRPr="009C1763">
        <w:rPr>
          <w:rFonts w:cstheme="minorHAnsi"/>
        </w:rPr>
        <w:t xml:space="preserve"> hospital Medicare Cost Report (“MCR”)</w:t>
      </w:r>
      <w:r w:rsidR="008A4EA1" w:rsidRPr="00B10C7F">
        <w:rPr>
          <w:rStyle w:val="FootnoteReference"/>
          <w:rFonts w:cstheme="minorHAnsi"/>
          <w:color w:val="2A4D77"/>
        </w:rPr>
        <w:footnoteReference w:id="2"/>
      </w:r>
      <w:r w:rsidR="008A4EA1" w:rsidRPr="00B10C7F">
        <w:rPr>
          <w:rFonts w:cstheme="minorHAnsi"/>
          <w:color w:val="2A4D77"/>
        </w:rPr>
        <w:t xml:space="preserve"> </w:t>
      </w:r>
      <w:r w:rsidR="00423CB5" w:rsidRPr="009C1763">
        <w:rPr>
          <w:rFonts w:cstheme="minorHAnsi"/>
        </w:rPr>
        <w:t>when validating eligibility information for hospitals,</w:t>
      </w:r>
      <w:r w:rsidR="008A4EA1" w:rsidRPr="009C1763">
        <w:rPr>
          <w:rFonts w:cstheme="minorHAnsi"/>
        </w:rPr>
        <w:t xml:space="preserve"> both during registration and du</w:t>
      </w:r>
      <w:r w:rsidR="00423CB5" w:rsidRPr="009C1763">
        <w:rPr>
          <w:rFonts w:cstheme="minorHAnsi"/>
        </w:rPr>
        <w:t>ring audits. As such, HRSA reviews the following a</w:t>
      </w:r>
      <w:r w:rsidR="00423CB5" w:rsidRPr="00B12DDD">
        <w:rPr>
          <w:rFonts w:cstheme="minorHAnsi"/>
        </w:rPr>
        <w:t xml:space="preserve">reas </w:t>
      </w:r>
      <w:r w:rsidR="002D7D09" w:rsidRPr="00B12DDD">
        <w:rPr>
          <w:rFonts w:cstheme="minorHAnsi"/>
        </w:rPr>
        <w:t xml:space="preserve">of the MCR </w:t>
      </w:r>
      <w:r w:rsidR="00423CB5" w:rsidRPr="009C1763">
        <w:rPr>
          <w:rFonts w:cstheme="minorHAnsi"/>
        </w:rPr>
        <w:t>to determine eligibility:</w:t>
      </w:r>
    </w:p>
    <w:p w14:paraId="480B9E94" w14:textId="77777777" w:rsidR="00423CB5" w:rsidRPr="009C1763" w:rsidRDefault="00423CB5" w:rsidP="000A5A47">
      <w:pPr>
        <w:pStyle w:val="ListParagraph"/>
        <w:jc w:val="both"/>
        <w:rPr>
          <w:rFonts w:cstheme="minorHAnsi"/>
        </w:rPr>
      </w:pPr>
    </w:p>
    <w:p w14:paraId="00CF6AD6" w14:textId="77777777" w:rsidR="00423CB5" w:rsidRPr="009C1763" w:rsidRDefault="00423CB5" w:rsidP="000A5A47">
      <w:pPr>
        <w:pStyle w:val="ListParagraph"/>
        <w:numPr>
          <w:ilvl w:val="0"/>
          <w:numId w:val="35"/>
        </w:numPr>
        <w:jc w:val="both"/>
        <w:rPr>
          <w:rFonts w:cstheme="minorHAnsi"/>
        </w:rPr>
      </w:pPr>
      <w:r w:rsidRPr="009C1763">
        <w:rPr>
          <w:rFonts w:cstheme="minorHAnsi"/>
        </w:rPr>
        <w:t xml:space="preserve">Line 33 shows the DSH adjustment percentage, which is needed to be eligible (if applicable). </w:t>
      </w:r>
    </w:p>
    <w:p w14:paraId="304249C4" w14:textId="77777777" w:rsidR="00001EB5" w:rsidRPr="009C1763" w:rsidRDefault="00423CB5" w:rsidP="000A5A47">
      <w:pPr>
        <w:pStyle w:val="ListParagraph"/>
        <w:numPr>
          <w:ilvl w:val="0"/>
          <w:numId w:val="35"/>
        </w:numPr>
        <w:jc w:val="both"/>
        <w:rPr>
          <w:rFonts w:cstheme="minorHAnsi"/>
        </w:rPr>
      </w:pPr>
      <w:r w:rsidRPr="009C1763">
        <w:rPr>
          <w:rFonts w:cstheme="minorHAnsi"/>
        </w:rPr>
        <w:t xml:space="preserve">Lines 50 to 118 </w:t>
      </w:r>
      <w:r w:rsidR="003B02E0" w:rsidRPr="009C1763">
        <w:rPr>
          <w:rFonts w:cstheme="minorHAnsi"/>
        </w:rPr>
        <w:t xml:space="preserve">contain </w:t>
      </w:r>
      <w:r w:rsidRPr="009C1763">
        <w:rPr>
          <w:rFonts w:cstheme="minorHAnsi"/>
        </w:rPr>
        <w:t xml:space="preserve">cost centers (e.g. operating room, recovery room) that must be </w:t>
      </w:r>
      <w:r w:rsidRPr="00B12DDD">
        <w:rPr>
          <w:rFonts w:cstheme="minorHAnsi"/>
        </w:rPr>
        <w:t>reimbursable</w:t>
      </w:r>
      <w:r w:rsidR="003B02E0" w:rsidRPr="00B12DDD">
        <w:rPr>
          <w:rFonts w:cstheme="minorHAnsi"/>
        </w:rPr>
        <w:t xml:space="preserve">, </w:t>
      </w:r>
      <w:r w:rsidR="002D7D09" w:rsidRPr="00B12DDD">
        <w:rPr>
          <w:rFonts w:cstheme="minorHAnsi"/>
        </w:rPr>
        <w:t xml:space="preserve">and </w:t>
      </w:r>
      <w:r w:rsidR="003B02E0" w:rsidRPr="00B12DDD">
        <w:rPr>
          <w:rFonts w:cstheme="minorHAnsi"/>
        </w:rPr>
        <w:t xml:space="preserve">have </w:t>
      </w:r>
      <w:r w:rsidRPr="00B12DDD">
        <w:rPr>
          <w:rFonts w:cstheme="minorHAnsi"/>
        </w:rPr>
        <w:t>expense</w:t>
      </w:r>
      <w:r w:rsidR="0000205B" w:rsidRPr="00B12DDD">
        <w:rPr>
          <w:rFonts w:cstheme="minorHAnsi"/>
        </w:rPr>
        <w:t xml:space="preserve">s </w:t>
      </w:r>
      <w:r w:rsidR="0000205B" w:rsidRPr="009C1763">
        <w:rPr>
          <w:rFonts w:cstheme="minorHAnsi"/>
        </w:rPr>
        <w:t xml:space="preserve">and outpatient revenue to </w:t>
      </w:r>
      <w:r w:rsidRPr="009C1763">
        <w:rPr>
          <w:rFonts w:cstheme="minorHAnsi"/>
        </w:rPr>
        <w:t>be considered 340B eligible.</w:t>
      </w:r>
    </w:p>
    <w:p w14:paraId="7A14BC9E" w14:textId="77777777" w:rsidR="00001EB5" w:rsidRPr="009C1763" w:rsidRDefault="00001EB5" w:rsidP="000A5A47">
      <w:pPr>
        <w:jc w:val="both"/>
        <w:rPr>
          <w:rFonts w:cstheme="minorHAnsi"/>
        </w:rPr>
      </w:pPr>
    </w:p>
    <w:p w14:paraId="0894EBA1" w14:textId="77777777" w:rsidR="00012839" w:rsidRPr="009C1763" w:rsidRDefault="00001EB5" w:rsidP="000A5A47">
      <w:pPr>
        <w:pStyle w:val="ListParagraph"/>
        <w:numPr>
          <w:ilvl w:val="0"/>
          <w:numId w:val="32"/>
        </w:numPr>
        <w:autoSpaceDE w:val="0"/>
        <w:autoSpaceDN w:val="0"/>
        <w:adjustRightInd w:val="0"/>
        <w:jc w:val="both"/>
        <w:rPr>
          <w:rFonts w:cstheme="minorHAnsi"/>
        </w:rPr>
      </w:pPr>
      <w:r w:rsidRPr="009C1763">
        <w:rPr>
          <w:rFonts w:cstheme="minorHAnsi"/>
        </w:rPr>
        <w:t xml:space="preserve">The </w:t>
      </w:r>
      <w:r w:rsidR="00012839" w:rsidRPr="009C1763">
        <w:rPr>
          <w:rFonts w:cstheme="minorHAnsi"/>
        </w:rPr>
        <w:t xml:space="preserve">covered entity should establish controls/processes to </w:t>
      </w:r>
      <w:r w:rsidRPr="009C1763">
        <w:rPr>
          <w:rFonts w:cstheme="minorHAnsi"/>
        </w:rPr>
        <w:t xml:space="preserve">prevent diversion </w:t>
      </w:r>
      <w:r w:rsidR="00012839" w:rsidRPr="009C1763">
        <w:rPr>
          <w:rFonts w:cstheme="minorHAnsi"/>
        </w:rPr>
        <w:t>of 340B drugs to ineligible patients. That i</w:t>
      </w:r>
      <w:r w:rsidR="00B12DDD">
        <w:rPr>
          <w:rFonts w:cstheme="minorHAnsi"/>
        </w:rPr>
        <w:t>s,</w:t>
      </w:r>
      <w:r w:rsidR="00012839" w:rsidRPr="009C1763">
        <w:rPr>
          <w:rFonts w:cstheme="minorHAnsi"/>
        </w:rPr>
        <w:t xml:space="preserve"> t</w:t>
      </w:r>
      <w:r w:rsidRPr="009C1763">
        <w:rPr>
          <w:rFonts w:cstheme="minorHAnsi"/>
        </w:rPr>
        <w:t xml:space="preserve">he covered entity should not resell or transfer discounted outpatient drugs to anyone who is not a covered entity patient as defined by HRSA. A patient is defined as: </w:t>
      </w:r>
    </w:p>
    <w:p w14:paraId="542042D9" w14:textId="77777777" w:rsidR="00012839" w:rsidRPr="009C1763" w:rsidRDefault="00FC1FCC" w:rsidP="000A5A47">
      <w:pPr>
        <w:pStyle w:val="ListParagraph"/>
        <w:numPr>
          <w:ilvl w:val="0"/>
          <w:numId w:val="33"/>
        </w:numPr>
        <w:autoSpaceDE w:val="0"/>
        <w:autoSpaceDN w:val="0"/>
        <w:adjustRightInd w:val="0"/>
        <w:jc w:val="both"/>
        <w:rPr>
          <w:rFonts w:cstheme="minorHAnsi"/>
        </w:rPr>
      </w:pPr>
      <w:r w:rsidRPr="009C1763">
        <w:rPr>
          <w:rFonts w:cstheme="minorHAnsi"/>
        </w:rPr>
        <w:t>A</w:t>
      </w:r>
      <w:r w:rsidR="00012839" w:rsidRPr="009C1763">
        <w:rPr>
          <w:rFonts w:cstheme="minorHAnsi"/>
        </w:rPr>
        <w:t xml:space="preserve">n </w:t>
      </w:r>
      <w:r w:rsidR="00001EB5" w:rsidRPr="009C1763">
        <w:rPr>
          <w:rFonts w:cstheme="minorHAnsi"/>
        </w:rPr>
        <w:t>established relationship with the individual</w:t>
      </w:r>
      <w:r w:rsidR="00B12DDD">
        <w:rPr>
          <w:rFonts w:cstheme="minorHAnsi"/>
          <w:strike/>
          <w:color w:val="FF0000"/>
        </w:rPr>
        <w:t xml:space="preserve">, </w:t>
      </w:r>
      <w:r w:rsidR="00001EB5" w:rsidRPr="009C1763">
        <w:rPr>
          <w:rFonts w:cstheme="minorHAnsi"/>
        </w:rPr>
        <w:t xml:space="preserve">in which the covered entity maintains the individual’s health record; </w:t>
      </w:r>
    </w:p>
    <w:p w14:paraId="74B163FB" w14:textId="77777777" w:rsidR="00012839" w:rsidRPr="009C1763" w:rsidRDefault="00001EB5" w:rsidP="000A5A47">
      <w:pPr>
        <w:pStyle w:val="ListParagraph"/>
        <w:numPr>
          <w:ilvl w:val="0"/>
          <w:numId w:val="33"/>
        </w:numPr>
        <w:autoSpaceDE w:val="0"/>
        <w:autoSpaceDN w:val="0"/>
        <w:adjustRightInd w:val="0"/>
        <w:jc w:val="both"/>
        <w:rPr>
          <w:rFonts w:cstheme="minorHAnsi"/>
        </w:rPr>
      </w:pPr>
      <w:r w:rsidRPr="009C1763">
        <w:rPr>
          <w:rFonts w:cstheme="minorHAnsi"/>
        </w:rPr>
        <w:t xml:space="preserve">The individual receives health care services from a health care professional who is either employed by the covered entity or provides health care under contractual or other arrangements, such that responsibility for the care remains with the covered entity; </w:t>
      </w:r>
    </w:p>
    <w:p w14:paraId="54559CA1" w14:textId="77777777" w:rsidR="00001EB5" w:rsidRPr="009C1763" w:rsidRDefault="00001EB5" w:rsidP="000A5A47">
      <w:pPr>
        <w:pStyle w:val="ListParagraph"/>
        <w:numPr>
          <w:ilvl w:val="0"/>
          <w:numId w:val="33"/>
        </w:numPr>
        <w:autoSpaceDE w:val="0"/>
        <w:autoSpaceDN w:val="0"/>
        <w:adjustRightInd w:val="0"/>
        <w:jc w:val="both"/>
        <w:rPr>
          <w:rFonts w:cstheme="minorHAnsi"/>
        </w:rPr>
      </w:pPr>
      <w:r w:rsidRPr="009C1763">
        <w:rPr>
          <w:rFonts w:cstheme="minorHAnsi"/>
        </w:rPr>
        <w:t xml:space="preserve">The individual receives health care services or range of services from the covered </w:t>
      </w:r>
      <w:r w:rsidR="00012839" w:rsidRPr="009C1763">
        <w:rPr>
          <w:rFonts w:cstheme="minorHAnsi"/>
        </w:rPr>
        <w:t>entity, which is consistent with the service,</w:t>
      </w:r>
      <w:r w:rsidRPr="009C1763">
        <w:rPr>
          <w:rFonts w:cstheme="minorHAnsi"/>
        </w:rPr>
        <w:t xml:space="preserve"> or range of services for which grant funding or federally qualified health center look-alike status has been provided to the entity. Disproportionate share hospitals are exempt from this requirement.</w:t>
      </w:r>
      <w:r w:rsidRPr="00B10C7F">
        <w:rPr>
          <w:rStyle w:val="FootnoteReference"/>
          <w:rFonts w:cstheme="minorHAnsi"/>
          <w:color w:val="2A4D77"/>
        </w:rPr>
        <w:footnoteReference w:id="3"/>
      </w:r>
    </w:p>
    <w:p w14:paraId="73669D7C" w14:textId="77777777" w:rsidR="00001EB5" w:rsidRPr="009C1763" w:rsidRDefault="00001EB5" w:rsidP="000A5A47">
      <w:pPr>
        <w:jc w:val="both"/>
        <w:rPr>
          <w:rFonts w:cstheme="minorHAnsi"/>
        </w:rPr>
      </w:pPr>
    </w:p>
    <w:p w14:paraId="42B48573" w14:textId="77777777" w:rsidR="00653A72" w:rsidRPr="009C1763" w:rsidRDefault="00012839" w:rsidP="000A5A47">
      <w:pPr>
        <w:pStyle w:val="ListParagraph"/>
        <w:numPr>
          <w:ilvl w:val="0"/>
          <w:numId w:val="32"/>
        </w:numPr>
        <w:jc w:val="both"/>
        <w:rPr>
          <w:rFonts w:cstheme="minorHAnsi"/>
        </w:rPr>
      </w:pPr>
      <w:r w:rsidRPr="009C1763">
        <w:rPr>
          <w:rFonts w:cstheme="minorHAnsi"/>
        </w:rPr>
        <w:t xml:space="preserve">The covered entity should establish processes/controls that </w:t>
      </w:r>
      <w:r w:rsidR="00001EB5" w:rsidRPr="009C1763">
        <w:rPr>
          <w:rFonts w:cstheme="minorHAnsi"/>
        </w:rPr>
        <w:t>prohibit duplicate discounts.</w:t>
      </w:r>
      <w:r w:rsidRPr="009C1763">
        <w:rPr>
          <w:rFonts w:cstheme="minorHAnsi"/>
        </w:rPr>
        <w:t xml:space="preserve"> That is, m</w:t>
      </w:r>
      <w:r w:rsidR="00001EB5" w:rsidRPr="009C1763">
        <w:rPr>
          <w:rFonts w:cstheme="minorHAnsi"/>
        </w:rPr>
        <w:t>anufacturers should not provid</w:t>
      </w:r>
      <w:r w:rsidRPr="009C1763">
        <w:rPr>
          <w:rFonts w:cstheme="minorHAnsi"/>
        </w:rPr>
        <w:t>e the same drug with</w:t>
      </w:r>
      <w:r w:rsidR="00001EB5" w:rsidRPr="009C1763">
        <w:rPr>
          <w:rFonts w:cstheme="minorHAnsi"/>
        </w:rPr>
        <w:t xml:space="preserve"> </w:t>
      </w:r>
      <w:r w:rsidR="00653A72" w:rsidRPr="009C1763">
        <w:rPr>
          <w:rFonts w:cstheme="minorHAnsi"/>
        </w:rPr>
        <w:t xml:space="preserve">a </w:t>
      </w:r>
      <w:r w:rsidR="00001EB5" w:rsidRPr="009C1763">
        <w:rPr>
          <w:rFonts w:cstheme="minorHAnsi"/>
        </w:rPr>
        <w:t>discounted 340B pric</w:t>
      </w:r>
      <w:r w:rsidR="00053402" w:rsidRPr="009C1763">
        <w:rPr>
          <w:rFonts w:cstheme="minorHAnsi"/>
        </w:rPr>
        <w:t xml:space="preserve">ing </w:t>
      </w:r>
      <w:r w:rsidRPr="009C1763">
        <w:rPr>
          <w:rFonts w:cstheme="minorHAnsi"/>
        </w:rPr>
        <w:t>and a Medicaid drug rebate</w:t>
      </w:r>
      <w:r w:rsidR="00001EB5" w:rsidRPr="009C1763">
        <w:rPr>
          <w:rFonts w:cstheme="minorHAnsi"/>
        </w:rPr>
        <w:t xml:space="preserve">.  </w:t>
      </w:r>
      <w:r w:rsidR="00653A72" w:rsidRPr="009C1763">
        <w:rPr>
          <w:rFonts w:cstheme="minorHAnsi"/>
        </w:rPr>
        <w:t xml:space="preserve">As such, </w:t>
      </w:r>
      <w:r w:rsidR="00001EB5" w:rsidRPr="009C1763">
        <w:rPr>
          <w:rFonts w:cstheme="minorHAnsi"/>
        </w:rPr>
        <w:t xml:space="preserve">covered entities should determine whether they </w:t>
      </w:r>
      <w:r w:rsidR="00614790" w:rsidRPr="009C1763">
        <w:rPr>
          <w:rFonts w:cstheme="minorHAnsi"/>
        </w:rPr>
        <w:t>would</w:t>
      </w:r>
      <w:r w:rsidR="00001EB5" w:rsidRPr="009C1763">
        <w:rPr>
          <w:rFonts w:cstheme="minorHAnsi"/>
        </w:rPr>
        <w:t xml:space="preserve"> be using 340B drugs fo</w:t>
      </w:r>
      <w:r w:rsidR="00653A72" w:rsidRPr="009C1763">
        <w:rPr>
          <w:rFonts w:cstheme="minorHAnsi"/>
        </w:rPr>
        <w:t>r their Medicaid patients (</w:t>
      </w:r>
      <w:r w:rsidR="00001EB5" w:rsidRPr="009C1763">
        <w:rPr>
          <w:rFonts w:cstheme="minorHAnsi"/>
        </w:rPr>
        <w:t>carve-in</w:t>
      </w:r>
      <w:r w:rsidR="00653A72" w:rsidRPr="009C1763">
        <w:rPr>
          <w:rFonts w:cstheme="minorHAnsi"/>
        </w:rPr>
        <w:t>) or whether other mechanisms will be used to purchase drugs for their Medicaid patients</w:t>
      </w:r>
      <w:r w:rsidR="00001EB5" w:rsidRPr="009C1763">
        <w:rPr>
          <w:rFonts w:cstheme="minorHAnsi"/>
        </w:rPr>
        <w:t xml:space="preserve"> </w:t>
      </w:r>
      <w:r w:rsidR="00653A72" w:rsidRPr="009C1763">
        <w:rPr>
          <w:rFonts w:cstheme="minorHAnsi"/>
        </w:rPr>
        <w:t>(</w:t>
      </w:r>
      <w:r w:rsidR="00001EB5" w:rsidRPr="009C1763">
        <w:rPr>
          <w:rFonts w:cstheme="minorHAnsi"/>
        </w:rPr>
        <w:t xml:space="preserve">carve-out). </w:t>
      </w:r>
      <w:r w:rsidR="00614790" w:rsidRPr="009C1763">
        <w:rPr>
          <w:rFonts w:cstheme="minorHAnsi"/>
        </w:rPr>
        <w:t>If carve</w:t>
      </w:r>
      <w:r w:rsidR="002D7D09" w:rsidRPr="00B12DDD">
        <w:rPr>
          <w:rFonts w:cstheme="minorHAnsi"/>
          <w:color w:val="FF0000"/>
        </w:rPr>
        <w:t>-</w:t>
      </w:r>
      <w:r w:rsidR="00614790" w:rsidRPr="009C1763">
        <w:rPr>
          <w:rFonts w:cstheme="minorHAnsi"/>
        </w:rPr>
        <w:t>in drugs will be used, the cov</w:t>
      </w:r>
      <w:r w:rsidR="00D1335B" w:rsidRPr="009C1763">
        <w:rPr>
          <w:rFonts w:cstheme="minorHAnsi"/>
        </w:rPr>
        <w:t>ered entity is req</w:t>
      </w:r>
      <w:r w:rsidR="003B02E0" w:rsidRPr="009C1763">
        <w:rPr>
          <w:rFonts w:cstheme="minorHAnsi"/>
        </w:rPr>
        <w:t xml:space="preserve">uired to inform OPA as well </w:t>
      </w:r>
      <w:r w:rsidR="00B12DDD" w:rsidRPr="009C1763">
        <w:rPr>
          <w:rFonts w:cstheme="minorHAnsi"/>
        </w:rPr>
        <w:t>as Medicaid</w:t>
      </w:r>
      <w:r w:rsidR="00D1335B" w:rsidRPr="009C1763">
        <w:rPr>
          <w:rFonts w:cstheme="minorHAnsi"/>
        </w:rPr>
        <w:t xml:space="preserve"> </w:t>
      </w:r>
      <w:r w:rsidR="003B02E0" w:rsidRPr="009C1763">
        <w:rPr>
          <w:rFonts w:cstheme="minorHAnsi"/>
        </w:rPr>
        <w:t xml:space="preserve">of </w:t>
      </w:r>
      <w:r w:rsidR="00D1335B" w:rsidRPr="009C1763">
        <w:rPr>
          <w:rFonts w:cstheme="minorHAnsi"/>
        </w:rPr>
        <w:t xml:space="preserve">its plan to bill and the billing </w:t>
      </w:r>
      <w:r w:rsidR="00D1335B" w:rsidRPr="00B12DDD">
        <w:rPr>
          <w:rFonts w:cstheme="minorHAnsi"/>
        </w:rPr>
        <w:t xml:space="preserve">number </w:t>
      </w:r>
      <w:r w:rsidR="002D7D09" w:rsidRPr="00B12DDD">
        <w:rPr>
          <w:rFonts w:cstheme="minorHAnsi"/>
        </w:rPr>
        <w:t>[</w:t>
      </w:r>
      <w:r w:rsidR="00D1335B" w:rsidRPr="00B12DDD">
        <w:rPr>
          <w:rFonts w:cstheme="minorHAnsi"/>
        </w:rPr>
        <w:t>i.e.</w:t>
      </w:r>
      <w:r w:rsidR="00D1335B" w:rsidRPr="00B12DDD">
        <w:rPr>
          <w:rFonts w:eastAsia="Times New Roman" w:cstheme="minorHAnsi"/>
        </w:rPr>
        <w:t xml:space="preserve"> provider’s national provider identifier (“NPI”) and</w:t>
      </w:r>
      <w:r w:rsidR="00FC1FCC" w:rsidRPr="00B12DDD">
        <w:rPr>
          <w:rFonts w:eastAsia="Times New Roman" w:cstheme="minorHAnsi"/>
        </w:rPr>
        <w:t>/</w:t>
      </w:r>
      <w:r w:rsidR="00D1335B" w:rsidRPr="00B12DDD">
        <w:rPr>
          <w:rFonts w:eastAsia="Times New Roman" w:cstheme="minorHAnsi"/>
        </w:rPr>
        <w:t>or the state assigned Medicaid number</w:t>
      </w:r>
      <w:r w:rsidR="00B12DDD" w:rsidRPr="00B12DDD">
        <w:rPr>
          <w:rFonts w:eastAsia="Times New Roman" w:cstheme="minorHAnsi"/>
        </w:rPr>
        <w:t>]</w:t>
      </w:r>
      <w:r w:rsidR="00B12DDD" w:rsidRPr="00B12DDD">
        <w:rPr>
          <w:rFonts w:cstheme="minorHAnsi"/>
        </w:rPr>
        <w:t xml:space="preserve"> that</w:t>
      </w:r>
      <w:r w:rsidR="00FC1FCC" w:rsidRPr="00B12DDD">
        <w:rPr>
          <w:rFonts w:cstheme="minorHAnsi"/>
        </w:rPr>
        <w:t xml:space="preserve"> will be </w:t>
      </w:r>
      <w:r w:rsidR="00D1335B" w:rsidRPr="00B12DDD">
        <w:rPr>
          <w:rFonts w:cstheme="minorHAnsi"/>
        </w:rPr>
        <w:t>list</w:t>
      </w:r>
      <w:r w:rsidR="00FC1FCC" w:rsidRPr="00B12DDD">
        <w:rPr>
          <w:rFonts w:cstheme="minorHAnsi"/>
        </w:rPr>
        <w:t>ed</w:t>
      </w:r>
      <w:r w:rsidR="00D1335B" w:rsidRPr="00B12DDD">
        <w:rPr>
          <w:rFonts w:cstheme="minorHAnsi"/>
        </w:rPr>
        <w:t xml:space="preserve"> on the claim to the </w:t>
      </w:r>
      <w:r w:rsidR="002D7D09" w:rsidRPr="00B12DDD">
        <w:rPr>
          <w:rFonts w:cstheme="minorHAnsi"/>
        </w:rPr>
        <w:t>S</w:t>
      </w:r>
      <w:r w:rsidR="00D1335B" w:rsidRPr="00B12DDD">
        <w:rPr>
          <w:rFonts w:cstheme="minorHAnsi"/>
        </w:rPr>
        <w:t>tate.</w:t>
      </w:r>
      <w:r w:rsidR="00FC1FCC" w:rsidRPr="00B12DDD">
        <w:rPr>
          <w:rFonts w:cstheme="minorHAnsi"/>
        </w:rPr>
        <w:t xml:space="preserve"> </w:t>
      </w:r>
      <w:r w:rsidR="00FC1FCC" w:rsidRPr="00B12DDD">
        <w:rPr>
          <w:rFonts w:eastAsia="Times New Roman" w:cstheme="minorHAnsi"/>
        </w:rPr>
        <w:t>The Medicaid billing information lists on the 340B OPA will be reflected on the HRSA Medicaid Exclusion File (“MEF”).</w:t>
      </w:r>
      <w:r w:rsidR="00FC1FCC" w:rsidRPr="00B12DDD">
        <w:rPr>
          <w:rFonts w:cstheme="minorHAnsi"/>
        </w:rPr>
        <w:t xml:space="preserve"> In the case of carve</w:t>
      </w:r>
      <w:r w:rsidR="002D7D09" w:rsidRPr="00B12DDD">
        <w:rPr>
          <w:rFonts w:cstheme="minorHAnsi"/>
        </w:rPr>
        <w:t>-</w:t>
      </w:r>
      <w:r w:rsidR="00FC1FCC" w:rsidRPr="00B12DDD">
        <w:rPr>
          <w:rFonts w:cstheme="minorHAnsi"/>
        </w:rPr>
        <w:t xml:space="preserve">out </w:t>
      </w:r>
      <w:r w:rsidR="00542590" w:rsidRPr="00B12DDD">
        <w:rPr>
          <w:rFonts w:cstheme="minorHAnsi"/>
        </w:rPr>
        <w:t>drugs</w:t>
      </w:r>
      <w:r w:rsidR="002D7D09" w:rsidRPr="00B12DDD">
        <w:rPr>
          <w:rFonts w:cstheme="minorHAnsi"/>
        </w:rPr>
        <w:t>,</w:t>
      </w:r>
      <w:r w:rsidR="00B12DDD" w:rsidRPr="00B12DDD">
        <w:rPr>
          <w:rFonts w:cstheme="minorHAnsi"/>
          <w:strike/>
        </w:rPr>
        <w:t xml:space="preserve"> </w:t>
      </w:r>
      <w:r w:rsidR="00FC1FCC" w:rsidRPr="00B12DDD">
        <w:rPr>
          <w:rFonts w:cstheme="minorHAnsi"/>
        </w:rPr>
        <w:t>the</w:t>
      </w:r>
      <w:r w:rsidR="00542590" w:rsidRPr="00B12DDD">
        <w:rPr>
          <w:rFonts w:cstheme="minorHAnsi"/>
        </w:rPr>
        <w:t xml:space="preserve"> above would not apply, as the drugs dispensed to patients were purchased outside of </w:t>
      </w:r>
      <w:r w:rsidR="00542590" w:rsidRPr="009C1763">
        <w:rPr>
          <w:rFonts w:cstheme="minorHAnsi"/>
        </w:rPr>
        <w:t xml:space="preserve">the 340B program. </w:t>
      </w:r>
      <w:r w:rsidR="00FC1FCC" w:rsidRPr="009C1763">
        <w:rPr>
          <w:rFonts w:cstheme="minorHAnsi"/>
        </w:rPr>
        <w:t xml:space="preserve"> </w:t>
      </w:r>
      <w:r w:rsidR="00542590" w:rsidRPr="009C1763">
        <w:rPr>
          <w:rFonts w:cstheme="minorHAnsi"/>
        </w:rPr>
        <w:t>In addition, disproportionate share hospitals, freestanding cancer hospitals, and children’s hosp</w:t>
      </w:r>
      <w:r w:rsidR="00542590" w:rsidRPr="00B12DDD">
        <w:rPr>
          <w:rFonts w:cstheme="minorHAnsi"/>
        </w:rPr>
        <w:t>ital</w:t>
      </w:r>
      <w:r w:rsidR="00AB6525" w:rsidRPr="00B12DDD">
        <w:rPr>
          <w:rFonts w:cstheme="minorHAnsi"/>
        </w:rPr>
        <w:t>s</w:t>
      </w:r>
      <w:r w:rsidR="00542590" w:rsidRPr="00B12DDD">
        <w:rPr>
          <w:rFonts w:cstheme="minorHAnsi"/>
        </w:rPr>
        <w:t xml:space="preserve"> </w:t>
      </w:r>
      <w:r w:rsidR="00542590" w:rsidRPr="009C1763">
        <w:rPr>
          <w:rFonts w:cstheme="minorHAnsi"/>
        </w:rPr>
        <w:t>must refrain from participating in</w:t>
      </w:r>
      <w:r w:rsidR="00AB6525">
        <w:rPr>
          <w:rFonts w:cstheme="minorHAnsi"/>
        </w:rPr>
        <w:t xml:space="preserve"> </w:t>
      </w:r>
      <w:r w:rsidR="00542590" w:rsidRPr="009C1763">
        <w:rPr>
          <w:rFonts w:cstheme="minorHAnsi"/>
        </w:rPr>
        <w:t xml:space="preserve">group purchasing organization </w:t>
      </w:r>
      <w:r w:rsidR="00616D50" w:rsidRPr="009C1763">
        <w:rPr>
          <w:rFonts w:cstheme="minorHAnsi"/>
        </w:rPr>
        <w:t xml:space="preserve">(“GPO”) </w:t>
      </w:r>
      <w:r w:rsidR="00542590" w:rsidRPr="009C1763">
        <w:rPr>
          <w:rFonts w:cstheme="minorHAnsi"/>
        </w:rPr>
        <w:t>for covered outpatient drugs.</w:t>
      </w:r>
    </w:p>
    <w:p w14:paraId="227059BB" w14:textId="77777777" w:rsidR="00232548" w:rsidRPr="009C1763" w:rsidRDefault="00232548" w:rsidP="000A5A47">
      <w:pPr>
        <w:pStyle w:val="ListParagraph"/>
        <w:ind w:left="990"/>
        <w:jc w:val="both"/>
        <w:rPr>
          <w:rFonts w:cstheme="minorHAnsi"/>
        </w:rPr>
      </w:pPr>
    </w:p>
    <w:p w14:paraId="4B2F2350" w14:textId="77777777" w:rsidR="00001EB5" w:rsidRPr="009C1763" w:rsidRDefault="000E6D3A" w:rsidP="000A5A47">
      <w:pPr>
        <w:pStyle w:val="ListParagraph"/>
        <w:numPr>
          <w:ilvl w:val="0"/>
          <w:numId w:val="32"/>
        </w:numPr>
        <w:jc w:val="both"/>
        <w:rPr>
          <w:rFonts w:cstheme="minorHAnsi"/>
          <w:b/>
          <w:u w:val="single"/>
        </w:rPr>
      </w:pPr>
      <w:r w:rsidRPr="00B12DDD">
        <w:rPr>
          <w:rFonts w:cstheme="minorHAnsi"/>
          <w:color w:val="FF0000"/>
        </w:rPr>
        <w:t>C</w:t>
      </w:r>
      <w:r w:rsidR="00542590" w:rsidRPr="009C1763">
        <w:rPr>
          <w:rFonts w:cstheme="minorHAnsi"/>
        </w:rPr>
        <w:t>overed entities participating in the 340B program should</w:t>
      </w:r>
      <w:r w:rsidR="00001EB5" w:rsidRPr="009C1763">
        <w:rPr>
          <w:rFonts w:cstheme="minorHAnsi"/>
        </w:rPr>
        <w:t xml:space="preserve"> prepar</w:t>
      </w:r>
      <w:r w:rsidR="00542590" w:rsidRPr="009C1763">
        <w:rPr>
          <w:rFonts w:cstheme="minorHAnsi"/>
        </w:rPr>
        <w:t>e</w:t>
      </w:r>
      <w:r w:rsidR="00001EB5" w:rsidRPr="009C1763">
        <w:rPr>
          <w:rFonts w:cstheme="minorHAnsi"/>
        </w:rPr>
        <w:t xml:space="preserve"> for audits, which includes maintaining auditable records.</w:t>
      </w:r>
    </w:p>
    <w:p w14:paraId="6A6A9FBB" w14:textId="77777777" w:rsidR="00120C5E" w:rsidRPr="009C1763" w:rsidRDefault="00120C5E" w:rsidP="00120C5E">
      <w:pPr>
        <w:rPr>
          <w:rFonts w:cstheme="minorHAnsi"/>
          <w:b/>
          <w:u w:val="single"/>
        </w:rPr>
      </w:pPr>
    </w:p>
    <w:p w14:paraId="177EC9D0" w14:textId="77777777" w:rsidR="00001EB5" w:rsidRPr="009C1763" w:rsidRDefault="00001EB5" w:rsidP="00001EB5">
      <w:pPr>
        <w:rPr>
          <w:rFonts w:cstheme="minorHAnsi"/>
        </w:rPr>
      </w:pPr>
    </w:p>
    <w:p w14:paraId="7610F438" w14:textId="77777777" w:rsidR="003B02E0" w:rsidRPr="009C1763" w:rsidRDefault="003B02E0" w:rsidP="00001EB5">
      <w:pPr>
        <w:rPr>
          <w:rFonts w:cstheme="minorHAnsi"/>
        </w:rPr>
      </w:pPr>
    </w:p>
    <w:p w14:paraId="03760960" w14:textId="77777777" w:rsidR="003B02E0" w:rsidRPr="009C1763" w:rsidRDefault="003B02E0" w:rsidP="00001EB5">
      <w:pPr>
        <w:rPr>
          <w:rFonts w:cstheme="minorHAnsi"/>
        </w:rPr>
      </w:pPr>
    </w:p>
    <w:p w14:paraId="62525342" w14:textId="77777777" w:rsidR="003B02E0" w:rsidRPr="009C1763" w:rsidRDefault="003B02E0" w:rsidP="00001EB5">
      <w:pPr>
        <w:rPr>
          <w:rFonts w:cstheme="minorHAnsi"/>
        </w:rPr>
      </w:pPr>
    </w:p>
    <w:p w14:paraId="0B50EB56" w14:textId="77777777" w:rsidR="00332B75" w:rsidRPr="00CD2294" w:rsidRDefault="00332B75" w:rsidP="00332B75">
      <w:pPr>
        <w:pStyle w:val="Heading1"/>
        <w:numPr>
          <w:ilvl w:val="0"/>
          <w:numId w:val="26"/>
        </w:numPr>
        <w:rPr>
          <w:rFonts w:asciiTheme="minorHAnsi" w:hAnsiTheme="minorHAnsi" w:cstheme="minorHAnsi"/>
          <w:color w:val="2A4D77"/>
        </w:rPr>
      </w:pPr>
      <w:bookmarkStart w:id="9" w:name="_Toc53580951"/>
      <w:r w:rsidRPr="00CD2294">
        <w:rPr>
          <w:rFonts w:asciiTheme="minorHAnsi" w:hAnsiTheme="minorHAnsi" w:cstheme="minorHAnsi"/>
          <w:color w:val="2A4D77"/>
        </w:rPr>
        <w:t>The “Carve</w:t>
      </w:r>
      <w:r w:rsidR="00AB6525" w:rsidRPr="00B12DDD">
        <w:rPr>
          <w:rFonts w:asciiTheme="minorHAnsi" w:hAnsiTheme="minorHAnsi" w:cstheme="minorHAnsi"/>
          <w:color w:val="2A4D77"/>
        </w:rPr>
        <w:t>-</w:t>
      </w:r>
      <w:r w:rsidRPr="00CD2294">
        <w:rPr>
          <w:rFonts w:asciiTheme="minorHAnsi" w:hAnsiTheme="minorHAnsi" w:cstheme="minorHAnsi"/>
          <w:color w:val="2A4D77"/>
        </w:rPr>
        <w:t>In” and “Carve</w:t>
      </w:r>
      <w:r w:rsidR="00AB6525" w:rsidRPr="00B12DDD">
        <w:rPr>
          <w:rFonts w:asciiTheme="minorHAnsi" w:hAnsiTheme="minorHAnsi" w:cstheme="minorHAnsi"/>
          <w:color w:val="2A4D77"/>
        </w:rPr>
        <w:t>-</w:t>
      </w:r>
      <w:r w:rsidRPr="00CD2294">
        <w:rPr>
          <w:rFonts w:asciiTheme="minorHAnsi" w:hAnsiTheme="minorHAnsi" w:cstheme="minorHAnsi"/>
          <w:color w:val="2A4D77"/>
        </w:rPr>
        <w:t xml:space="preserve">Out” </w:t>
      </w:r>
      <w:r w:rsidR="00C7484E" w:rsidRPr="00CD2294">
        <w:rPr>
          <w:rFonts w:asciiTheme="minorHAnsi" w:hAnsiTheme="minorHAnsi" w:cstheme="minorHAnsi"/>
          <w:color w:val="2A4D77"/>
        </w:rPr>
        <w:t xml:space="preserve">Drug Dispensation </w:t>
      </w:r>
      <w:r w:rsidRPr="00CD2294">
        <w:rPr>
          <w:rFonts w:asciiTheme="minorHAnsi" w:hAnsiTheme="minorHAnsi" w:cstheme="minorHAnsi"/>
          <w:color w:val="2A4D77"/>
        </w:rPr>
        <w:t>Model</w:t>
      </w:r>
      <w:bookmarkEnd w:id="9"/>
    </w:p>
    <w:p w14:paraId="3A610C59" w14:textId="77777777" w:rsidR="00332B75" w:rsidRPr="009C1763" w:rsidRDefault="00332B75" w:rsidP="00332B75">
      <w:pPr>
        <w:pStyle w:val="Heading1"/>
        <w:ind w:left="720"/>
        <w:rPr>
          <w:rFonts w:asciiTheme="minorHAnsi" w:hAnsiTheme="minorHAnsi" w:cstheme="minorHAnsi"/>
        </w:rPr>
      </w:pPr>
    </w:p>
    <w:p w14:paraId="38237E76" w14:textId="77777777" w:rsidR="00332B75" w:rsidRPr="009C1763" w:rsidRDefault="00332B75" w:rsidP="000A5A47">
      <w:pPr>
        <w:widowControl/>
        <w:autoSpaceDE w:val="0"/>
        <w:autoSpaceDN w:val="0"/>
        <w:adjustRightInd w:val="0"/>
        <w:ind w:left="720"/>
        <w:jc w:val="both"/>
        <w:rPr>
          <w:rFonts w:cstheme="minorHAnsi"/>
        </w:rPr>
      </w:pPr>
      <w:r w:rsidRPr="009C1763">
        <w:rPr>
          <w:rFonts w:cstheme="minorHAnsi"/>
        </w:rPr>
        <w:t xml:space="preserve">There are two models used by covered entities when dispensing drugs to Medicaid patients. </w:t>
      </w:r>
      <w:r w:rsidR="00272D66" w:rsidRPr="009C1763">
        <w:rPr>
          <w:rFonts w:cstheme="minorHAnsi"/>
        </w:rPr>
        <w:t>The c</w:t>
      </w:r>
      <w:r w:rsidRPr="009C1763">
        <w:rPr>
          <w:rFonts w:cstheme="minorHAnsi"/>
        </w:rPr>
        <w:t>arve</w:t>
      </w:r>
      <w:r w:rsidR="00AB6525">
        <w:rPr>
          <w:rFonts w:cstheme="minorHAnsi"/>
        </w:rPr>
        <w:t>-</w:t>
      </w:r>
      <w:r w:rsidRPr="009C1763">
        <w:rPr>
          <w:rFonts w:cstheme="minorHAnsi"/>
        </w:rPr>
        <w:t>in mod</w:t>
      </w:r>
      <w:r w:rsidR="00272D66" w:rsidRPr="009C1763">
        <w:rPr>
          <w:rFonts w:cstheme="minorHAnsi"/>
        </w:rPr>
        <w:t xml:space="preserve">el </w:t>
      </w:r>
      <w:r w:rsidRPr="009C1763">
        <w:rPr>
          <w:rFonts w:cstheme="minorHAnsi"/>
        </w:rPr>
        <w:t>used by co</w:t>
      </w:r>
      <w:r w:rsidR="00E9107F" w:rsidRPr="009C1763">
        <w:rPr>
          <w:rFonts w:cstheme="minorHAnsi"/>
        </w:rPr>
        <w:t xml:space="preserve">vered entities includes dispensing drugs purchased under the 340B program to their </w:t>
      </w:r>
      <w:r w:rsidRPr="009C1763">
        <w:rPr>
          <w:rFonts w:cstheme="minorHAnsi"/>
        </w:rPr>
        <w:t>Medicaid patients</w:t>
      </w:r>
      <w:r w:rsidR="00E9107F" w:rsidRPr="009C1763">
        <w:rPr>
          <w:rFonts w:cstheme="minorHAnsi"/>
        </w:rPr>
        <w:t>. However,</w:t>
      </w:r>
      <w:r w:rsidR="00272D66" w:rsidRPr="009C1763">
        <w:rPr>
          <w:rFonts w:cstheme="minorHAnsi"/>
        </w:rPr>
        <w:t xml:space="preserve"> </w:t>
      </w:r>
      <w:r w:rsidRPr="009C1763">
        <w:rPr>
          <w:rFonts w:cstheme="minorHAnsi"/>
        </w:rPr>
        <w:t>the carve</w:t>
      </w:r>
      <w:r w:rsidR="00AB6525">
        <w:rPr>
          <w:rFonts w:cstheme="minorHAnsi"/>
        </w:rPr>
        <w:t>-</w:t>
      </w:r>
      <w:r w:rsidRPr="009C1763">
        <w:rPr>
          <w:rFonts w:cstheme="minorHAnsi"/>
        </w:rPr>
        <w:t>out model excludes Medicaid patients</w:t>
      </w:r>
      <w:r w:rsidR="00AB6525" w:rsidRPr="00B12DDD">
        <w:rPr>
          <w:rFonts w:cstheme="minorHAnsi"/>
          <w:color w:val="FF0000"/>
        </w:rPr>
        <w:t>,</w:t>
      </w:r>
      <w:r w:rsidRPr="009C1763">
        <w:rPr>
          <w:rFonts w:cstheme="minorHAnsi"/>
        </w:rPr>
        <w:t xml:space="preserve"> and drugs dispensed to these patients are purchased outside of the 340B program</w:t>
      </w:r>
      <w:r w:rsidRPr="00B10C7F">
        <w:rPr>
          <w:rStyle w:val="FootnoteReference"/>
          <w:rFonts w:cstheme="minorHAnsi"/>
          <w:color w:val="2A4D77"/>
        </w:rPr>
        <w:footnoteReference w:id="4"/>
      </w:r>
      <w:r w:rsidR="00272D66" w:rsidRPr="009C1763">
        <w:rPr>
          <w:rFonts w:cstheme="minorHAnsi"/>
        </w:rPr>
        <w:t>, result</w:t>
      </w:r>
      <w:r w:rsidR="00E9107F" w:rsidRPr="009C1763">
        <w:rPr>
          <w:rFonts w:cstheme="minorHAnsi"/>
        </w:rPr>
        <w:t>ing</w:t>
      </w:r>
      <w:r w:rsidR="00272D66" w:rsidRPr="009C1763">
        <w:rPr>
          <w:rFonts w:cstheme="minorHAnsi"/>
        </w:rPr>
        <w:t xml:space="preserve"> in no</w:t>
      </w:r>
      <w:r w:rsidR="00E9107F" w:rsidRPr="009C1763">
        <w:rPr>
          <w:rFonts w:cstheme="minorHAnsi"/>
        </w:rPr>
        <w:t xml:space="preserve"> savings being </w:t>
      </w:r>
      <w:r w:rsidR="00C7484E" w:rsidRPr="009C1763">
        <w:rPr>
          <w:rFonts w:cstheme="minorHAnsi"/>
        </w:rPr>
        <w:t xml:space="preserve">achieved </w:t>
      </w:r>
      <w:r w:rsidR="00E9107F" w:rsidRPr="009C1763">
        <w:rPr>
          <w:rFonts w:cstheme="minorHAnsi"/>
        </w:rPr>
        <w:t>under the</w:t>
      </w:r>
      <w:r w:rsidR="00272D66" w:rsidRPr="009C1763">
        <w:rPr>
          <w:rFonts w:cstheme="minorHAnsi"/>
        </w:rPr>
        <w:t xml:space="preserve"> </w:t>
      </w:r>
      <w:r w:rsidR="00E9107F" w:rsidRPr="009C1763">
        <w:rPr>
          <w:rFonts w:cstheme="minorHAnsi"/>
        </w:rPr>
        <w:t>program.</w:t>
      </w:r>
    </w:p>
    <w:p w14:paraId="44B73D53" w14:textId="77777777" w:rsidR="00272D66" w:rsidRPr="009C1763" w:rsidRDefault="00272D66" w:rsidP="000A5A47">
      <w:pPr>
        <w:widowControl/>
        <w:autoSpaceDE w:val="0"/>
        <w:autoSpaceDN w:val="0"/>
        <w:adjustRightInd w:val="0"/>
        <w:ind w:left="720"/>
        <w:jc w:val="both"/>
        <w:rPr>
          <w:rFonts w:cstheme="minorHAnsi"/>
        </w:rPr>
      </w:pPr>
    </w:p>
    <w:p w14:paraId="44B8656E" w14:textId="77777777" w:rsidR="00C7484E" w:rsidRPr="009C1763" w:rsidRDefault="00272D66" w:rsidP="000A5A47">
      <w:pPr>
        <w:widowControl/>
        <w:autoSpaceDE w:val="0"/>
        <w:autoSpaceDN w:val="0"/>
        <w:adjustRightInd w:val="0"/>
        <w:ind w:left="720"/>
        <w:jc w:val="both"/>
        <w:rPr>
          <w:rFonts w:cstheme="minorHAnsi"/>
        </w:rPr>
      </w:pPr>
      <w:r w:rsidRPr="009C1763">
        <w:rPr>
          <w:rFonts w:cstheme="minorHAnsi"/>
        </w:rPr>
        <w:t xml:space="preserve">The disadvantage </w:t>
      </w:r>
      <w:r w:rsidR="00E9107F" w:rsidRPr="009C1763">
        <w:rPr>
          <w:rFonts w:cstheme="minorHAnsi"/>
        </w:rPr>
        <w:t>of t</w:t>
      </w:r>
      <w:r w:rsidRPr="009C1763">
        <w:rPr>
          <w:rFonts w:cstheme="minorHAnsi"/>
        </w:rPr>
        <w:t>he carve</w:t>
      </w:r>
      <w:r w:rsidR="00AB6525">
        <w:rPr>
          <w:rFonts w:cstheme="minorHAnsi"/>
        </w:rPr>
        <w:t>-</w:t>
      </w:r>
      <w:r w:rsidRPr="009C1763">
        <w:rPr>
          <w:rFonts w:cstheme="minorHAnsi"/>
        </w:rPr>
        <w:t>out model is that institutions will be required to maintain separate inventories for 340B eligible patients and their Medicaid patients, resulting in greater administrati</w:t>
      </w:r>
      <w:r w:rsidR="00E9107F" w:rsidRPr="009C1763">
        <w:rPr>
          <w:rFonts w:cstheme="minorHAnsi"/>
        </w:rPr>
        <w:t>ve</w:t>
      </w:r>
      <w:r w:rsidRPr="009C1763">
        <w:rPr>
          <w:rFonts w:cstheme="minorHAnsi"/>
        </w:rPr>
        <w:t xml:space="preserve"> burden and cost for the institution. In addition, </w:t>
      </w:r>
      <w:r w:rsidR="00E9107F" w:rsidRPr="009C1763">
        <w:rPr>
          <w:rFonts w:cstheme="minorHAnsi"/>
        </w:rPr>
        <w:t>the institution is also required to implement controls/processes to ensure that no 340B drugs are dispensed/provided to Medicaid patie</w:t>
      </w:r>
      <w:r w:rsidR="00C7484E" w:rsidRPr="009C1763">
        <w:rPr>
          <w:rFonts w:cstheme="minorHAnsi"/>
        </w:rPr>
        <w:t>nts and l</w:t>
      </w:r>
      <w:r w:rsidR="00E9107F" w:rsidRPr="009C1763">
        <w:rPr>
          <w:rFonts w:cstheme="minorHAnsi"/>
        </w:rPr>
        <w:t>astly, the institution is required to correctly indicate carve</w:t>
      </w:r>
      <w:r w:rsidR="00AB6525">
        <w:rPr>
          <w:rFonts w:cstheme="minorHAnsi"/>
        </w:rPr>
        <w:t>-</w:t>
      </w:r>
      <w:r w:rsidR="00E9107F" w:rsidRPr="009C1763">
        <w:rPr>
          <w:rFonts w:cstheme="minorHAnsi"/>
        </w:rPr>
        <w:t xml:space="preserve">out status on the OPA database </w:t>
      </w:r>
      <w:r w:rsidR="00C7484E" w:rsidRPr="009C1763">
        <w:rPr>
          <w:rFonts w:cstheme="minorHAnsi"/>
        </w:rPr>
        <w:t xml:space="preserve">to avoid the risk of reflecting an incorrect </w:t>
      </w:r>
      <w:r w:rsidR="00E9107F" w:rsidRPr="009C1763">
        <w:rPr>
          <w:rFonts w:cstheme="minorHAnsi"/>
        </w:rPr>
        <w:t>MEF</w:t>
      </w:r>
      <w:r w:rsidR="00C7484E" w:rsidRPr="009C1763">
        <w:rPr>
          <w:rFonts w:cstheme="minorHAnsi"/>
        </w:rPr>
        <w:t xml:space="preserve">. </w:t>
      </w:r>
    </w:p>
    <w:p w14:paraId="7118035A" w14:textId="77777777" w:rsidR="00C7484E" w:rsidRPr="009C1763" w:rsidRDefault="00C7484E" w:rsidP="000A5A47">
      <w:pPr>
        <w:widowControl/>
        <w:autoSpaceDE w:val="0"/>
        <w:autoSpaceDN w:val="0"/>
        <w:adjustRightInd w:val="0"/>
        <w:ind w:left="720"/>
        <w:jc w:val="both"/>
        <w:rPr>
          <w:rFonts w:cstheme="minorHAnsi"/>
        </w:rPr>
      </w:pPr>
    </w:p>
    <w:p w14:paraId="41457E18" w14:textId="77777777" w:rsidR="00272D66" w:rsidRPr="009C1763" w:rsidRDefault="00C7484E" w:rsidP="000A5A47">
      <w:pPr>
        <w:widowControl/>
        <w:autoSpaceDE w:val="0"/>
        <w:autoSpaceDN w:val="0"/>
        <w:adjustRightInd w:val="0"/>
        <w:ind w:left="720"/>
        <w:jc w:val="both"/>
        <w:rPr>
          <w:rFonts w:cstheme="minorHAnsi"/>
        </w:rPr>
      </w:pPr>
      <w:r w:rsidRPr="009C1763">
        <w:rPr>
          <w:rFonts w:cstheme="minorHAnsi"/>
        </w:rPr>
        <w:t>Carve</w:t>
      </w:r>
      <w:r w:rsidR="00AB6525">
        <w:rPr>
          <w:rFonts w:cstheme="minorHAnsi"/>
        </w:rPr>
        <w:t>-</w:t>
      </w:r>
      <w:r w:rsidRPr="009C1763">
        <w:rPr>
          <w:rFonts w:cstheme="minorHAnsi"/>
        </w:rPr>
        <w:t>in drugs on the other hand allow covered entities to obtain cost savings and there is no need to maintain separate inventory systems. However, institutions are required to inform the Medicaid agency that they will be dispensing 340B drugs to Medicaid beneficiaries</w:t>
      </w:r>
      <w:r w:rsidR="00AB6525">
        <w:rPr>
          <w:rFonts w:cstheme="minorHAnsi"/>
        </w:rPr>
        <w:t xml:space="preserve">, </w:t>
      </w:r>
      <w:r w:rsidR="00AB6525" w:rsidRPr="00B12DDD">
        <w:rPr>
          <w:rFonts w:cstheme="minorHAnsi"/>
        </w:rPr>
        <w:t>in addition to</w:t>
      </w:r>
      <w:r w:rsidRPr="00B12DDD">
        <w:rPr>
          <w:rFonts w:cstheme="minorHAnsi"/>
        </w:rPr>
        <w:t xml:space="preserve"> </w:t>
      </w:r>
      <w:r w:rsidR="00D867BA" w:rsidRPr="009C1763">
        <w:rPr>
          <w:rFonts w:cstheme="minorHAnsi"/>
        </w:rPr>
        <w:t xml:space="preserve">establishing controls that prevent duplicate discounts. </w:t>
      </w:r>
      <w:r w:rsidRPr="009C1763">
        <w:rPr>
          <w:rFonts w:cstheme="minorHAnsi"/>
        </w:rPr>
        <w:t xml:space="preserve"> </w:t>
      </w:r>
    </w:p>
    <w:p w14:paraId="220335DD" w14:textId="77777777" w:rsidR="00E91719" w:rsidRPr="009C1763" w:rsidRDefault="00E91719" w:rsidP="00E91719">
      <w:pPr>
        <w:rPr>
          <w:rFonts w:cstheme="minorHAnsi"/>
        </w:rPr>
      </w:pPr>
    </w:p>
    <w:p w14:paraId="70361C46" w14:textId="77777777" w:rsidR="00E91719" w:rsidRPr="00B10C7F" w:rsidRDefault="00BE72C3" w:rsidP="00E91719">
      <w:pPr>
        <w:pStyle w:val="Heading1"/>
        <w:numPr>
          <w:ilvl w:val="0"/>
          <w:numId w:val="26"/>
        </w:numPr>
        <w:rPr>
          <w:rFonts w:asciiTheme="minorHAnsi" w:hAnsiTheme="minorHAnsi" w:cstheme="minorHAnsi"/>
          <w:color w:val="2A4D77"/>
        </w:rPr>
      </w:pPr>
      <w:bookmarkStart w:id="10" w:name="_Toc53580952"/>
      <w:r w:rsidRPr="00B10C7F">
        <w:rPr>
          <w:rFonts w:asciiTheme="minorHAnsi" w:hAnsiTheme="minorHAnsi" w:cstheme="minorHAnsi"/>
          <w:color w:val="2A4D77"/>
        </w:rPr>
        <w:t>Dispens</w:t>
      </w:r>
      <w:r w:rsidR="009A78DD" w:rsidRPr="00B10C7F">
        <w:rPr>
          <w:rFonts w:asciiTheme="minorHAnsi" w:hAnsiTheme="minorHAnsi" w:cstheme="minorHAnsi"/>
          <w:color w:val="2A4D77"/>
        </w:rPr>
        <w:t>ing 340B D</w:t>
      </w:r>
      <w:r w:rsidRPr="00B10C7F">
        <w:rPr>
          <w:rFonts w:asciiTheme="minorHAnsi" w:hAnsiTheme="minorHAnsi" w:cstheme="minorHAnsi"/>
          <w:color w:val="2A4D77"/>
        </w:rPr>
        <w:t xml:space="preserve">rugs </w:t>
      </w:r>
      <w:r w:rsidR="009A78DD" w:rsidRPr="00B10C7F">
        <w:rPr>
          <w:rFonts w:asciiTheme="minorHAnsi" w:hAnsiTheme="minorHAnsi" w:cstheme="minorHAnsi"/>
          <w:color w:val="2A4D77"/>
        </w:rPr>
        <w:t>T</w:t>
      </w:r>
      <w:r w:rsidRPr="00B10C7F">
        <w:rPr>
          <w:rFonts w:asciiTheme="minorHAnsi" w:hAnsiTheme="minorHAnsi" w:cstheme="minorHAnsi"/>
          <w:color w:val="2A4D77"/>
        </w:rPr>
        <w:t xml:space="preserve">hrough </w:t>
      </w:r>
      <w:r w:rsidR="00E91719" w:rsidRPr="00B10C7F">
        <w:rPr>
          <w:rFonts w:asciiTheme="minorHAnsi" w:hAnsiTheme="minorHAnsi" w:cstheme="minorHAnsi"/>
          <w:color w:val="2A4D77"/>
        </w:rPr>
        <w:t>Contract</w:t>
      </w:r>
      <w:r w:rsidRPr="00B10C7F">
        <w:rPr>
          <w:rFonts w:asciiTheme="minorHAnsi" w:hAnsiTheme="minorHAnsi" w:cstheme="minorHAnsi"/>
          <w:color w:val="2A4D77"/>
        </w:rPr>
        <w:t>ed</w:t>
      </w:r>
      <w:r w:rsidR="00E91719" w:rsidRPr="00B10C7F">
        <w:rPr>
          <w:rFonts w:asciiTheme="minorHAnsi" w:hAnsiTheme="minorHAnsi" w:cstheme="minorHAnsi"/>
          <w:color w:val="2A4D77"/>
        </w:rPr>
        <w:t xml:space="preserve"> Pharmacies</w:t>
      </w:r>
      <w:bookmarkEnd w:id="10"/>
    </w:p>
    <w:p w14:paraId="66E7A416" w14:textId="77777777" w:rsidR="00BE72C3" w:rsidRPr="009C1763" w:rsidRDefault="00BE72C3" w:rsidP="00332B75">
      <w:pPr>
        <w:widowControl/>
        <w:autoSpaceDE w:val="0"/>
        <w:autoSpaceDN w:val="0"/>
        <w:adjustRightInd w:val="0"/>
        <w:ind w:left="720"/>
        <w:rPr>
          <w:rFonts w:cstheme="minorHAnsi"/>
          <w:color w:val="212529"/>
          <w:lang w:val="en"/>
        </w:rPr>
      </w:pPr>
    </w:p>
    <w:p w14:paraId="5F8EC72B" w14:textId="77777777" w:rsidR="000C1800" w:rsidRPr="009C1763" w:rsidRDefault="00BE72C3" w:rsidP="000A5A47">
      <w:pPr>
        <w:widowControl/>
        <w:autoSpaceDE w:val="0"/>
        <w:autoSpaceDN w:val="0"/>
        <w:adjustRightInd w:val="0"/>
        <w:ind w:left="720"/>
        <w:jc w:val="both"/>
        <w:rPr>
          <w:rFonts w:cstheme="minorHAnsi"/>
        </w:rPr>
      </w:pPr>
      <w:r w:rsidRPr="009C1763">
        <w:rPr>
          <w:rFonts w:cstheme="minorHAnsi"/>
        </w:rPr>
        <w:t>Covered entities may elect to dispense 340B drugs to patients through contract pharmac</w:t>
      </w:r>
      <w:r w:rsidR="003C3159" w:rsidRPr="009C1763">
        <w:rPr>
          <w:rFonts w:cstheme="minorHAnsi"/>
        </w:rPr>
        <w:t>ies.</w:t>
      </w:r>
      <w:r w:rsidR="000C1800" w:rsidRPr="009C1763">
        <w:rPr>
          <w:rFonts w:cstheme="minorHAnsi"/>
        </w:rPr>
        <w:t xml:space="preserve"> As such, covered entities enter into </w:t>
      </w:r>
      <w:r w:rsidRPr="009C1763">
        <w:rPr>
          <w:rFonts w:cstheme="minorHAnsi"/>
        </w:rPr>
        <w:t>written contract</w:t>
      </w:r>
      <w:r w:rsidR="009A78DD" w:rsidRPr="009C1763">
        <w:rPr>
          <w:rFonts w:cstheme="minorHAnsi"/>
        </w:rPr>
        <w:t>s</w:t>
      </w:r>
      <w:r w:rsidRPr="009C1763">
        <w:rPr>
          <w:rFonts w:cstheme="minorHAnsi"/>
        </w:rPr>
        <w:t xml:space="preserve"> </w:t>
      </w:r>
      <w:r w:rsidR="000C1800" w:rsidRPr="009C1763">
        <w:rPr>
          <w:rFonts w:cstheme="minorHAnsi"/>
        </w:rPr>
        <w:t xml:space="preserve">with pharmacies </w:t>
      </w:r>
      <w:r w:rsidRPr="009C1763">
        <w:rPr>
          <w:rFonts w:cstheme="minorHAnsi"/>
        </w:rPr>
        <w:t xml:space="preserve">to </w:t>
      </w:r>
      <w:r w:rsidR="00F0004F" w:rsidRPr="009C1763">
        <w:rPr>
          <w:rFonts w:cstheme="minorHAnsi"/>
        </w:rPr>
        <w:t>dispense 340B drugs on their behalf</w:t>
      </w:r>
      <w:r w:rsidR="000C1800" w:rsidRPr="009C1763">
        <w:rPr>
          <w:rFonts w:cstheme="minorHAnsi"/>
        </w:rPr>
        <w:t>.</w:t>
      </w:r>
    </w:p>
    <w:p w14:paraId="037B9B09" w14:textId="77777777" w:rsidR="000C1800" w:rsidRPr="009C1763" w:rsidRDefault="000C1800" w:rsidP="000A5A47">
      <w:pPr>
        <w:widowControl/>
        <w:autoSpaceDE w:val="0"/>
        <w:autoSpaceDN w:val="0"/>
        <w:adjustRightInd w:val="0"/>
        <w:ind w:left="720"/>
        <w:jc w:val="both"/>
        <w:rPr>
          <w:rFonts w:cstheme="minorHAnsi"/>
        </w:rPr>
      </w:pPr>
    </w:p>
    <w:p w14:paraId="37F756A7" w14:textId="77777777" w:rsidR="005F40DC" w:rsidRPr="009C1763" w:rsidRDefault="000C1800" w:rsidP="000A5A47">
      <w:pPr>
        <w:widowControl/>
        <w:autoSpaceDE w:val="0"/>
        <w:autoSpaceDN w:val="0"/>
        <w:adjustRightInd w:val="0"/>
        <w:ind w:left="720"/>
        <w:jc w:val="both"/>
        <w:rPr>
          <w:rFonts w:cstheme="minorHAnsi"/>
        </w:rPr>
      </w:pPr>
      <w:r w:rsidRPr="009C1763">
        <w:rPr>
          <w:rFonts w:cstheme="minorHAnsi"/>
        </w:rPr>
        <w:t>Contract pharmacy arrangements generally use one of two distinct inventory models</w:t>
      </w:r>
      <w:r w:rsidRPr="00B10C7F">
        <w:rPr>
          <w:rStyle w:val="FootnoteReference"/>
          <w:rFonts w:cstheme="minorHAnsi"/>
          <w:color w:val="2A4D77"/>
        </w:rPr>
        <w:footnoteReference w:id="5"/>
      </w:r>
      <w:r w:rsidR="00513189" w:rsidRPr="009C1763">
        <w:rPr>
          <w:rFonts w:cstheme="minorHAnsi"/>
        </w:rPr>
        <w:t xml:space="preserve">: </w:t>
      </w:r>
      <w:r w:rsidRPr="009C1763">
        <w:rPr>
          <w:rFonts w:cstheme="minorHAnsi"/>
        </w:rPr>
        <w:t xml:space="preserve">(1) pre-purchased inventory model or (2) replenishment inventory model. </w:t>
      </w:r>
      <w:r w:rsidR="004025FB" w:rsidRPr="009C1763">
        <w:rPr>
          <w:rFonts w:cstheme="minorHAnsi"/>
        </w:rPr>
        <w:t>T</w:t>
      </w:r>
      <w:r w:rsidRPr="009C1763">
        <w:rPr>
          <w:rFonts w:cstheme="minorHAnsi"/>
        </w:rPr>
        <w:t xml:space="preserve">he pre-purchase inventory model </w:t>
      </w:r>
      <w:r w:rsidR="005F40DC" w:rsidRPr="009C1763">
        <w:rPr>
          <w:rFonts w:cstheme="minorHAnsi"/>
        </w:rPr>
        <w:t xml:space="preserve">requires </w:t>
      </w:r>
      <w:r w:rsidRPr="009C1763">
        <w:rPr>
          <w:rFonts w:cstheme="minorHAnsi"/>
        </w:rPr>
        <w:t>the covered entit</w:t>
      </w:r>
      <w:r w:rsidR="005F40DC" w:rsidRPr="009C1763">
        <w:rPr>
          <w:rFonts w:cstheme="minorHAnsi"/>
        </w:rPr>
        <w:t xml:space="preserve">y to </w:t>
      </w:r>
      <w:r w:rsidRPr="009C1763">
        <w:rPr>
          <w:rFonts w:cstheme="minorHAnsi"/>
        </w:rPr>
        <w:t>purchase the 340B drug</w:t>
      </w:r>
      <w:r w:rsidR="00EB5C6C" w:rsidRPr="009C1763">
        <w:rPr>
          <w:rFonts w:cstheme="minorHAnsi"/>
        </w:rPr>
        <w:t>s</w:t>
      </w:r>
      <w:r w:rsidR="005F40DC" w:rsidRPr="009C1763">
        <w:rPr>
          <w:rFonts w:cstheme="minorHAnsi"/>
        </w:rPr>
        <w:t xml:space="preserve">, which are stored and dispensed by the </w:t>
      </w:r>
      <w:r w:rsidRPr="009C1763">
        <w:rPr>
          <w:rFonts w:cstheme="minorHAnsi"/>
        </w:rPr>
        <w:t xml:space="preserve">contract pharmacy, on behalf of the covered entity. </w:t>
      </w:r>
      <w:r w:rsidR="005F40DC" w:rsidRPr="009C1763">
        <w:rPr>
          <w:rFonts w:cstheme="minorHAnsi"/>
        </w:rPr>
        <w:t xml:space="preserve">In the case of the </w:t>
      </w:r>
      <w:r w:rsidRPr="009C1763">
        <w:rPr>
          <w:rFonts w:cstheme="minorHAnsi"/>
        </w:rPr>
        <w:t xml:space="preserve">replenishment </w:t>
      </w:r>
      <w:r w:rsidR="005F40DC" w:rsidRPr="009C1763">
        <w:rPr>
          <w:rFonts w:cstheme="minorHAnsi"/>
        </w:rPr>
        <w:t>model, the contracted pharmacy uses its own non-340B purchased drugs to fill prescriptions on behalf of the covered entity. When sufficient quantit</w:t>
      </w:r>
      <w:r w:rsidR="00EB5C6C" w:rsidRPr="009C1763">
        <w:rPr>
          <w:rFonts w:cstheme="minorHAnsi"/>
        </w:rPr>
        <w:t>ies</w:t>
      </w:r>
      <w:r w:rsidR="005F40DC" w:rsidRPr="009C1763">
        <w:rPr>
          <w:rFonts w:cstheme="minorHAnsi"/>
        </w:rPr>
        <w:t xml:space="preserve"> of the drugs have been dispensed</w:t>
      </w:r>
      <w:r w:rsidR="00EB5C6C" w:rsidRPr="009C1763">
        <w:rPr>
          <w:rFonts w:cstheme="minorHAnsi"/>
        </w:rPr>
        <w:t>,</w:t>
      </w:r>
      <w:r w:rsidR="005F40DC" w:rsidRPr="009C1763">
        <w:rPr>
          <w:rFonts w:cstheme="minorHAnsi"/>
        </w:rPr>
        <w:t xml:space="preserve"> the covered entity purchases that quantity of </w:t>
      </w:r>
      <w:r w:rsidR="00EB5C6C" w:rsidRPr="009C1763">
        <w:rPr>
          <w:rFonts w:cstheme="minorHAnsi"/>
        </w:rPr>
        <w:t>each</w:t>
      </w:r>
      <w:r w:rsidR="005F40DC" w:rsidRPr="009C1763">
        <w:rPr>
          <w:rFonts w:cstheme="minorHAnsi"/>
        </w:rPr>
        <w:t xml:space="preserve"> drug at the discounted 340B price and has it delivered to the contract pharmacy, thus replenishing drugs dispensed on behalf of the covered entity. </w:t>
      </w:r>
    </w:p>
    <w:p w14:paraId="26C408DB" w14:textId="77777777" w:rsidR="005F40DC" w:rsidRPr="009C1763" w:rsidRDefault="005F40DC" w:rsidP="000A5A47">
      <w:pPr>
        <w:widowControl/>
        <w:autoSpaceDE w:val="0"/>
        <w:autoSpaceDN w:val="0"/>
        <w:adjustRightInd w:val="0"/>
        <w:ind w:left="720"/>
        <w:jc w:val="both"/>
        <w:rPr>
          <w:rFonts w:cstheme="minorHAnsi"/>
        </w:rPr>
      </w:pPr>
    </w:p>
    <w:p w14:paraId="49947846" w14:textId="77777777" w:rsidR="00E91719" w:rsidRDefault="005F40DC" w:rsidP="000A5A47">
      <w:pPr>
        <w:widowControl/>
        <w:autoSpaceDE w:val="0"/>
        <w:autoSpaceDN w:val="0"/>
        <w:adjustRightInd w:val="0"/>
        <w:ind w:left="720"/>
        <w:jc w:val="both"/>
        <w:rPr>
          <w:rFonts w:cstheme="minorHAnsi"/>
        </w:rPr>
      </w:pPr>
      <w:r w:rsidRPr="009C1763">
        <w:rPr>
          <w:rFonts w:cstheme="minorHAnsi"/>
        </w:rPr>
        <w:t xml:space="preserve">Regardless of the type of inventory model used, the covered entity is required to have oversight </w:t>
      </w:r>
      <w:r w:rsidR="000E6D3A" w:rsidRPr="00B12DDD">
        <w:rPr>
          <w:rFonts w:cstheme="minorHAnsi"/>
        </w:rPr>
        <w:t>for</w:t>
      </w:r>
      <w:r w:rsidR="000E6D3A">
        <w:rPr>
          <w:rFonts w:cstheme="minorHAnsi"/>
        </w:rPr>
        <w:t xml:space="preserve"> </w:t>
      </w:r>
      <w:r w:rsidRPr="009C1763">
        <w:rPr>
          <w:rFonts w:cstheme="minorHAnsi"/>
        </w:rPr>
        <w:t>the</w:t>
      </w:r>
      <w:r w:rsidR="00BD4632" w:rsidRPr="009C1763">
        <w:rPr>
          <w:rFonts w:cstheme="minorHAnsi"/>
        </w:rPr>
        <w:t xml:space="preserve"> contract pharmacy arrangement t</w:t>
      </w:r>
      <w:r w:rsidRPr="009C1763">
        <w:rPr>
          <w:rFonts w:cstheme="minorHAnsi"/>
        </w:rPr>
        <w:t xml:space="preserve">o comply </w:t>
      </w:r>
      <w:r w:rsidR="00EB5C6C" w:rsidRPr="009C1763">
        <w:rPr>
          <w:rFonts w:cstheme="minorHAnsi"/>
        </w:rPr>
        <w:t xml:space="preserve">with </w:t>
      </w:r>
      <w:r w:rsidRPr="009C1763">
        <w:rPr>
          <w:rFonts w:cstheme="minorHAnsi"/>
        </w:rPr>
        <w:t xml:space="preserve">the 340B statute and HRSA guidelines. This oversight should include </w:t>
      </w:r>
      <w:r w:rsidR="00F0004F" w:rsidRPr="009C1763">
        <w:rPr>
          <w:rFonts w:cstheme="minorHAnsi"/>
        </w:rPr>
        <w:t>prevent</w:t>
      </w:r>
      <w:r w:rsidRPr="009C1763">
        <w:rPr>
          <w:rFonts w:cstheme="minorHAnsi"/>
        </w:rPr>
        <w:t>ing</w:t>
      </w:r>
      <w:r w:rsidR="00F0004F" w:rsidRPr="009C1763">
        <w:rPr>
          <w:rFonts w:cstheme="minorHAnsi"/>
        </w:rPr>
        <w:t xml:space="preserve"> diversion of 340B drugs to ineligible patients and duplicate discounts</w:t>
      </w:r>
      <w:r w:rsidR="003C3159" w:rsidRPr="009C1763">
        <w:rPr>
          <w:rFonts w:cstheme="minorHAnsi"/>
        </w:rPr>
        <w:t xml:space="preserve">. HRSA recommends that covered entities oversight activities include periodic reconciliations of covered entity records and contract pharmacy records, in addition to independent audits. </w:t>
      </w:r>
    </w:p>
    <w:p w14:paraId="5FD6F08A" w14:textId="77777777" w:rsidR="000E6D3A" w:rsidRPr="009C1763" w:rsidRDefault="000E6D3A" w:rsidP="000A5A47">
      <w:pPr>
        <w:widowControl/>
        <w:autoSpaceDE w:val="0"/>
        <w:autoSpaceDN w:val="0"/>
        <w:adjustRightInd w:val="0"/>
        <w:ind w:left="720"/>
        <w:jc w:val="both"/>
        <w:rPr>
          <w:rFonts w:cstheme="minorHAnsi"/>
        </w:rPr>
      </w:pPr>
    </w:p>
    <w:p w14:paraId="53D6D98A" w14:textId="77777777" w:rsidR="00C86DCC" w:rsidRPr="00B10C7F" w:rsidRDefault="00BF0EC2" w:rsidP="00C86DCC">
      <w:pPr>
        <w:pStyle w:val="Heading1"/>
        <w:numPr>
          <w:ilvl w:val="0"/>
          <w:numId w:val="26"/>
        </w:numPr>
        <w:rPr>
          <w:rFonts w:asciiTheme="minorHAnsi" w:hAnsiTheme="minorHAnsi" w:cstheme="minorHAnsi"/>
          <w:color w:val="2A4D77"/>
        </w:rPr>
      </w:pPr>
      <w:bookmarkStart w:id="11" w:name="_Toc53580953"/>
      <w:r w:rsidRPr="00B10C7F">
        <w:rPr>
          <w:rFonts w:asciiTheme="minorHAnsi" w:hAnsiTheme="minorHAnsi" w:cstheme="minorHAnsi"/>
          <w:color w:val="2A4D77"/>
        </w:rPr>
        <w:t xml:space="preserve">The </w:t>
      </w:r>
      <w:r w:rsidR="00001EB5" w:rsidRPr="00B10C7F">
        <w:rPr>
          <w:rFonts w:asciiTheme="minorHAnsi" w:hAnsiTheme="minorHAnsi" w:cstheme="minorHAnsi"/>
          <w:color w:val="2A4D77"/>
        </w:rPr>
        <w:t>Importan</w:t>
      </w:r>
      <w:r w:rsidRPr="00B10C7F">
        <w:rPr>
          <w:rFonts w:asciiTheme="minorHAnsi" w:hAnsiTheme="minorHAnsi" w:cstheme="minorHAnsi"/>
          <w:color w:val="2A4D77"/>
        </w:rPr>
        <w:t xml:space="preserve">ce </w:t>
      </w:r>
      <w:r w:rsidR="00EC0933" w:rsidRPr="00B10C7F">
        <w:rPr>
          <w:rFonts w:asciiTheme="minorHAnsi" w:hAnsiTheme="minorHAnsi" w:cstheme="minorHAnsi"/>
          <w:color w:val="2A4D77"/>
        </w:rPr>
        <w:t>of</w:t>
      </w:r>
      <w:r w:rsidRPr="00B10C7F">
        <w:rPr>
          <w:rFonts w:asciiTheme="minorHAnsi" w:hAnsiTheme="minorHAnsi" w:cstheme="minorHAnsi"/>
          <w:color w:val="2A4D77"/>
        </w:rPr>
        <w:t xml:space="preserve"> </w:t>
      </w:r>
      <w:r w:rsidR="00001EB5" w:rsidRPr="00B10C7F">
        <w:rPr>
          <w:rFonts w:asciiTheme="minorHAnsi" w:hAnsiTheme="minorHAnsi" w:cstheme="minorHAnsi"/>
          <w:color w:val="2A4D77"/>
        </w:rPr>
        <w:t>Compliance</w:t>
      </w:r>
      <w:r w:rsidR="00C45203" w:rsidRPr="00B10C7F">
        <w:rPr>
          <w:rFonts w:asciiTheme="minorHAnsi" w:hAnsiTheme="minorHAnsi" w:cstheme="minorHAnsi"/>
          <w:color w:val="2A4D77"/>
        </w:rPr>
        <w:t xml:space="preserve"> </w:t>
      </w:r>
      <w:r w:rsidR="00EC0933" w:rsidRPr="00B10C7F">
        <w:rPr>
          <w:rFonts w:asciiTheme="minorHAnsi" w:hAnsiTheme="minorHAnsi" w:cstheme="minorHAnsi"/>
          <w:color w:val="2A4D77"/>
        </w:rPr>
        <w:t>with</w:t>
      </w:r>
      <w:r w:rsidR="00C45203" w:rsidRPr="00B10C7F">
        <w:rPr>
          <w:rFonts w:asciiTheme="minorHAnsi" w:hAnsiTheme="minorHAnsi" w:cstheme="minorHAnsi"/>
          <w:color w:val="2A4D77"/>
        </w:rPr>
        <w:t xml:space="preserve"> </w:t>
      </w:r>
      <w:r w:rsidR="00EC0933" w:rsidRPr="00B10C7F">
        <w:rPr>
          <w:rFonts w:asciiTheme="minorHAnsi" w:hAnsiTheme="minorHAnsi" w:cstheme="minorHAnsi"/>
          <w:color w:val="2A4D77"/>
        </w:rPr>
        <w:t>the</w:t>
      </w:r>
      <w:r w:rsidR="00C45203" w:rsidRPr="00B10C7F">
        <w:rPr>
          <w:rFonts w:asciiTheme="minorHAnsi" w:hAnsiTheme="minorHAnsi" w:cstheme="minorHAnsi"/>
          <w:color w:val="2A4D77"/>
        </w:rPr>
        <w:t xml:space="preserve"> Program</w:t>
      </w:r>
      <w:bookmarkEnd w:id="11"/>
    </w:p>
    <w:p w14:paraId="74646330" w14:textId="77777777" w:rsidR="00BF0EC2" w:rsidRPr="009C1763" w:rsidRDefault="00BF0EC2" w:rsidP="00BF0EC2">
      <w:pPr>
        <w:pStyle w:val="Heading1"/>
        <w:ind w:left="720"/>
        <w:rPr>
          <w:rFonts w:asciiTheme="minorHAnsi" w:hAnsiTheme="minorHAnsi" w:cstheme="minorHAnsi"/>
        </w:rPr>
      </w:pPr>
    </w:p>
    <w:p w14:paraId="4A3E2365" w14:textId="77777777" w:rsidR="00C86DCC" w:rsidRPr="009C1763" w:rsidRDefault="00C86DCC" w:rsidP="000A5A47">
      <w:pPr>
        <w:pStyle w:val="ListParagraph"/>
        <w:ind w:left="720"/>
        <w:jc w:val="both"/>
        <w:rPr>
          <w:rFonts w:cstheme="minorHAnsi"/>
        </w:rPr>
      </w:pPr>
      <w:r w:rsidRPr="009C1763">
        <w:rPr>
          <w:rFonts w:cstheme="minorHAnsi"/>
        </w:rPr>
        <w:t>HRSA conducts risk</w:t>
      </w:r>
      <w:r w:rsidR="000E6D3A">
        <w:rPr>
          <w:rFonts w:cstheme="minorHAnsi"/>
        </w:rPr>
        <w:t>-</w:t>
      </w:r>
      <w:r w:rsidRPr="009C1763">
        <w:rPr>
          <w:rFonts w:cstheme="minorHAnsi"/>
        </w:rPr>
        <w:t xml:space="preserve">based and targeted audits to ensure covered entities and manufacturers comply with program requirements. In addition, </w:t>
      </w:r>
      <w:r w:rsidR="00BF0EC2" w:rsidRPr="009C1763">
        <w:rPr>
          <w:rFonts w:cstheme="minorHAnsi"/>
        </w:rPr>
        <w:t>HRSA has also created a branch devoted to compliance and oversight of the 340</w:t>
      </w:r>
      <w:r w:rsidR="00C02736" w:rsidRPr="009C1763">
        <w:rPr>
          <w:rFonts w:cstheme="minorHAnsi"/>
        </w:rPr>
        <w:t>B</w:t>
      </w:r>
      <w:r w:rsidR="003301BC" w:rsidRPr="009C1763">
        <w:rPr>
          <w:rFonts w:cstheme="minorHAnsi"/>
        </w:rPr>
        <w:t xml:space="preserve"> program, with the goal of</w:t>
      </w:r>
      <w:r w:rsidR="00D60CF5" w:rsidRPr="009C1763">
        <w:rPr>
          <w:rFonts w:cstheme="minorHAnsi"/>
        </w:rPr>
        <w:t xml:space="preserve"> increas</w:t>
      </w:r>
      <w:r w:rsidR="003301BC" w:rsidRPr="009C1763">
        <w:rPr>
          <w:rFonts w:cstheme="minorHAnsi"/>
        </w:rPr>
        <w:t>ing</w:t>
      </w:r>
      <w:r w:rsidR="00D60CF5" w:rsidRPr="009C1763">
        <w:rPr>
          <w:rFonts w:cstheme="minorHAnsi"/>
        </w:rPr>
        <w:t xml:space="preserve"> the number of audits performed</w:t>
      </w:r>
      <w:r w:rsidR="00D60CF5" w:rsidRPr="00B10C7F">
        <w:rPr>
          <w:rStyle w:val="FootnoteReference"/>
          <w:rFonts w:cstheme="minorHAnsi"/>
          <w:color w:val="2A4D77"/>
        </w:rPr>
        <w:footnoteReference w:id="6"/>
      </w:r>
      <w:r w:rsidR="00D60CF5" w:rsidRPr="009C1763">
        <w:rPr>
          <w:rFonts w:cstheme="minorHAnsi"/>
        </w:rPr>
        <w:t xml:space="preserve">. </w:t>
      </w:r>
      <w:r w:rsidR="00BF0EC2" w:rsidRPr="009C1763">
        <w:rPr>
          <w:rFonts w:cstheme="minorHAnsi"/>
        </w:rPr>
        <w:t xml:space="preserve"> </w:t>
      </w:r>
      <w:r w:rsidR="00A94EBB" w:rsidRPr="009C1763">
        <w:rPr>
          <w:rFonts w:cstheme="minorHAnsi"/>
        </w:rPr>
        <w:t xml:space="preserve">As such, </w:t>
      </w:r>
      <w:r w:rsidRPr="009C1763">
        <w:rPr>
          <w:rFonts w:cstheme="minorHAnsi"/>
        </w:rPr>
        <w:t xml:space="preserve">compliance </w:t>
      </w:r>
      <w:r w:rsidR="00BF0EC2" w:rsidRPr="009C1763">
        <w:rPr>
          <w:rFonts w:cstheme="minorHAnsi"/>
        </w:rPr>
        <w:t>with the program</w:t>
      </w:r>
      <w:r w:rsidR="00A94EBB" w:rsidRPr="009C1763">
        <w:rPr>
          <w:rFonts w:cstheme="minorHAnsi"/>
        </w:rPr>
        <w:t xml:space="preserve"> should be of paramount importance for those institutions </w:t>
      </w:r>
      <w:r w:rsidR="004E725F" w:rsidRPr="009C1763">
        <w:rPr>
          <w:rFonts w:cstheme="minorHAnsi"/>
        </w:rPr>
        <w:t>en</w:t>
      </w:r>
      <w:r w:rsidR="00A94EBB" w:rsidRPr="009C1763">
        <w:rPr>
          <w:rFonts w:cstheme="minorHAnsi"/>
        </w:rPr>
        <w:t xml:space="preserve">rolled in the program, due to </w:t>
      </w:r>
      <w:r w:rsidR="004E725F" w:rsidRPr="009C1763">
        <w:rPr>
          <w:rFonts w:cstheme="minorHAnsi"/>
        </w:rPr>
        <w:t xml:space="preserve">the </w:t>
      </w:r>
      <w:r w:rsidR="00A94EBB" w:rsidRPr="009C1763">
        <w:rPr>
          <w:rFonts w:cstheme="minorHAnsi"/>
        </w:rPr>
        <w:t>potential</w:t>
      </w:r>
      <w:r w:rsidR="004E725F" w:rsidRPr="009C1763">
        <w:rPr>
          <w:rFonts w:cstheme="minorHAnsi"/>
        </w:rPr>
        <w:t xml:space="preserve"> for</w:t>
      </w:r>
      <w:r w:rsidR="00A94EBB" w:rsidRPr="009C1763">
        <w:rPr>
          <w:rFonts w:cstheme="minorHAnsi"/>
        </w:rPr>
        <w:t xml:space="preserve"> </w:t>
      </w:r>
      <w:r w:rsidRPr="009C1763">
        <w:rPr>
          <w:rFonts w:cstheme="minorHAnsi"/>
        </w:rPr>
        <w:t>los</w:t>
      </w:r>
      <w:r w:rsidR="004E725F" w:rsidRPr="009C1763">
        <w:rPr>
          <w:rFonts w:cstheme="minorHAnsi"/>
        </w:rPr>
        <w:t>t</w:t>
      </w:r>
      <w:r w:rsidRPr="009C1763">
        <w:rPr>
          <w:rFonts w:cstheme="minorHAnsi"/>
        </w:rPr>
        <w:t xml:space="preserve"> eligibility</w:t>
      </w:r>
      <w:r w:rsidR="003301BC" w:rsidRPr="009C1763">
        <w:rPr>
          <w:rFonts w:cstheme="minorHAnsi"/>
        </w:rPr>
        <w:t xml:space="preserve"> </w:t>
      </w:r>
      <w:r w:rsidRPr="009C1763">
        <w:rPr>
          <w:rFonts w:cstheme="minorHAnsi"/>
        </w:rPr>
        <w:t xml:space="preserve">impacting cost saving benefits as well as </w:t>
      </w:r>
      <w:r w:rsidR="00BF0EC2" w:rsidRPr="009C1763">
        <w:rPr>
          <w:rFonts w:cstheme="minorHAnsi"/>
        </w:rPr>
        <w:t xml:space="preserve">possible </w:t>
      </w:r>
      <w:r w:rsidRPr="009C1763">
        <w:rPr>
          <w:rFonts w:cstheme="minorHAnsi"/>
        </w:rPr>
        <w:t>repayment to manufacturers.</w:t>
      </w:r>
    </w:p>
    <w:p w14:paraId="4CE0B661" w14:textId="77777777" w:rsidR="004A0282" w:rsidRPr="009C1763" w:rsidRDefault="004A0282" w:rsidP="000A5A47">
      <w:pPr>
        <w:pStyle w:val="ListParagraph"/>
        <w:ind w:left="720"/>
        <w:jc w:val="both"/>
        <w:rPr>
          <w:rFonts w:cstheme="minorHAnsi"/>
        </w:rPr>
      </w:pPr>
    </w:p>
    <w:p w14:paraId="63C17529" w14:textId="77777777" w:rsidR="005E2C3F" w:rsidRPr="009C1763" w:rsidRDefault="0098377B" w:rsidP="000A5A47">
      <w:pPr>
        <w:pStyle w:val="ListParagraph"/>
        <w:ind w:left="720"/>
        <w:jc w:val="both"/>
        <w:rPr>
          <w:rFonts w:cstheme="minorHAnsi"/>
        </w:rPr>
      </w:pPr>
      <w:r w:rsidRPr="009C1763">
        <w:rPr>
          <w:rFonts w:cstheme="minorHAnsi"/>
        </w:rPr>
        <w:t>T</w:t>
      </w:r>
      <w:r w:rsidR="004A0282" w:rsidRPr="009C1763">
        <w:rPr>
          <w:rFonts w:cstheme="minorHAnsi"/>
        </w:rPr>
        <w:t>o prevent deviation or noncompliance with the program, hospital facilities should conduct annual internal audit</w:t>
      </w:r>
      <w:r w:rsidR="00B12DDD">
        <w:rPr>
          <w:rFonts w:cstheme="minorHAnsi"/>
        </w:rPr>
        <w:t>s,</w:t>
      </w:r>
      <w:r w:rsidR="004A0282" w:rsidRPr="009C1763">
        <w:rPr>
          <w:rFonts w:cstheme="minorHAnsi"/>
        </w:rPr>
        <w:t xml:space="preserve"> to identify </w:t>
      </w:r>
      <w:r w:rsidR="005E2C3F" w:rsidRPr="009C1763">
        <w:rPr>
          <w:rFonts w:cstheme="minorHAnsi"/>
        </w:rPr>
        <w:t>and expand controls to prevent</w:t>
      </w:r>
      <w:r w:rsidR="004A0282" w:rsidRPr="009C1763">
        <w:rPr>
          <w:rFonts w:cstheme="minorHAnsi"/>
        </w:rPr>
        <w:t xml:space="preserve"> </w:t>
      </w:r>
      <w:r w:rsidR="00584F1B" w:rsidRPr="009C1763">
        <w:rPr>
          <w:rFonts w:cstheme="minorHAnsi"/>
        </w:rPr>
        <w:t>noncompliance</w:t>
      </w:r>
      <w:r w:rsidR="004A0282" w:rsidRPr="009C1763">
        <w:rPr>
          <w:rFonts w:cstheme="minorHAnsi"/>
        </w:rPr>
        <w:t>.</w:t>
      </w:r>
      <w:r w:rsidR="004E725F" w:rsidRPr="009C1763">
        <w:rPr>
          <w:rFonts w:cstheme="minorHAnsi"/>
        </w:rPr>
        <w:t xml:space="preserve"> Furthermore, adequate policies and procedures should be established to govern the program.</w:t>
      </w:r>
      <w:r w:rsidR="005E2C3F" w:rsidRPr="009C1763">
        <w:rPr>
          <w:rFonts w:cstheme="minorHAnsi"/>
        </w:rPr>
        <w:t xml:space="preserve"> </w:t>
      </w:r>
      <w:r w:rsidR="003301BC" w:rsidRPr="009C1763">
        <w:rPr>
          <w:rFonts w:cstheme="minorHAnsi"/>
        </w:rPr>
        <w:t xml:space="preserve">Some of the common findings noted during </w:t>
      </w:r>
      <w:r w:rsidR="005E2C3F" w:rsidRPr="009C1763">
        <w:rPr>
          <w:rFonts w:cstheme="minorHAnsi"/>
        </w:rPr>
        <w:t xml:space="preserve">the FY17 through FY19 </w:t>
      </w:r>
      <w:r w:rsidR="00946F16" w:rsidRPr="009C1763">
        <w:rPr>
          <w:rFonts w:cstheme="minorHAnsi"/>
        </w:rPr>
        <w:t>HRSA program integrity audit</w:t>
      </w:r>
      <w:r w:rsidR="003301BC" w:rsidRPr="009C1763">
        <w:rPr>
          <w:rFonts w:cstheme="minorHAnsi"/>
        </w:rPr>
        <w:t>s</w:t>
      </w:r>
      <w:r w:rsidR="005E2C3F" w:rsidRPr="009C1763">
        <w:rPr>
          <w:rFonts w:cstheme="minorHAnsi"/>
        </w:rPr>
        <w:t xml:space="preserve"> were ineligibility</w:t>
      </w:r>
      <w:r w:rsidR="003301BC" w:rsidRPr="009C1763">
        <w:rPr>
          <w:rFonts w:cstheme="minorHAnsi"/>
        </w:rPr>
        <w:t>, diversion and duplicate discounts.</w:t>
      </w:r>
    </w:p>
    <w:p w14:paraId="0FB8A281" w14:textId="77777777" w:rsidR="005E2C3F" w:rsidRPr="009C1763" w:rsidRDefault="005E2C3F" w:rsidP="000A5A47">
      <w:pPr>
        <w:pStyle w:val="ListParagraph"/>
        <w:ind w:left="720"/>
        <w:jc w:val="both"/>
        <w:rPr>
          <w:rFonts w:cstheme="minorHAnsi"/>
        </w:rPr>
      </w:pPr>
    </w:p>
    <w:p w14:paraId="393EE4F6" w14:textId="77777777" w:rsidR="003301BC" w:rsidRPr="009C1763" w:rsidRDefault="00580D34" w:rsidP="000A5A47">
      <w:pPr>
        <w:pStyle w:val="ListParagraph"/>
        <w:ind w:left="720"/>
        <w:jc w:val="both"/>
        <w:rPr>
          <w:rFonts w:cstheme="minorHAnsi"/>
        </w:rPr>
      </w:pPr>
      <w:r w:rsidRPr="009C1763">
        <w:rPr>
          <w:rFonts w:cstheme="minorHAnsi"/>
        </w:rPr>
        <w:t>T</w:t>
      </w:r>
      <w:r w:rsidR="005E2C3F" w:rsidRPr="009C1763">
        <w:rPr>
          <w:rFonts w:cstheme="minorHAnsi"/>
        </w:rPr>
        <w:t>o prevent ineligib</w:t>
      </w:r>
      <w:r w:rsidR="00E900C9" w:rsidRPr="009C1763">
        <w:rPr>
          <w:rFonts w:cstheme="minorHAnsi"/>
        </w:rPr>
        <w:t xml:space="preserve">ility, health care organizations should gain an understanding of the statute </w:t>
      </w:r>
      <w:r w:rsidR="00E900C9" w:rsidRPr="00B12DDD">
        <w:rPr>
          <w:rFonts w:cstheme="minorHAnsi"/>
          <w:i/>
        </w:rPr>
        <w:t xml:space="preserve">Section </w:t>
      </w:r>
      <w:r w:rsidR="00EC0933" w:rsidRPr="00B12DDD">
        <w:rPr>
          <w:rFonts w:cstheme="minorHAnsi"/>
          <w:i/>
        </w:rPr>
        <w:t>340B (</w:t>
      </w:r>
      <w:r w:rsidR="00E900C9" w:rsidRPr="00B12DDD">
        <w:rPr>
          <w:rFonts w:cstheme="minorHAnsi"/>
          <w:i/>
        </w:rPr>
        <w:t>a</w:t>
      </w:r>
      <w:r w:rsidR="00EC0933" w:rsidRPr="00B12DDD">
        <w:rPr>
          <w:rFonts w:cstheme="minorHAnsi"/>
          <w:i/>
        </w:rPr>
        <w:t>) (</w:t>
      </w:r>
      <w:r w:rsidR="00E900C9" w:rsidRPr="00B12DDD">
        <w:rPr>
          <w:rFonts w:cstheme="minorHAnsi"/>
          <w:i/>
        </w:rPr>
        <w:t>4) of the Public Health Service Act</w:t>
      </w:r>
      <w:r w:rsidR="00B12DDD">
        <w:rPr>
          <w:rFonts w:cstheme="minorHAnsi"/>
          <w:i/>
        </w:rPr>
        <w:t>,</w:t>
      </w:r>
      <w:r w:rsidR="00E900C9" w:rsidRPr="009C1763">
        <w:rPr>
          <w:rFonts w:cstheme="minorHAnsi"/>
        </w:rPr>
        <w:t xml:space="preserve"> which specifies which covered entities are eligible to participate. </w:t>
      </w:r>
      <w:r w:rsidRPr="009C1763">
        <w:rPr>
          <w:rFonts w:cstheme="minorHAnsi"/>
        </w:rPr>
        <w:t xml:space="preserve">Specifically, an institution is at risk when eligibility status changes have taken place and OPA has not been informed. </w:t>
      </w:r>
      <w:r w:rsidR="0098377B" w:rsidRPr="009C1763">
        <w:rPr>
          <w:rFonts w:cstheme="minorHAnsi"/>
        </w:rPr>
        <w:t xml:space="preserve">For </w:t>
      </w:r>
      <w:r w:rsidRPr="009C1763">
        <w:rPr>
          <w:rFonts w:cstheme="minorHAnsi"/>
        </w:rPr>
        <w:t>Example, DSH</w:t>
      </w:r>
      <w:r w:rsidRPr="00B10C7F">
        <w:rPr>
          <w:rStyle w:val="FootnoteReference"/>
          <w:rFonts w:cstheme="minorHAnsi"/>
          <w:color w:val="2A4D77"/>
        </w:rPr>
        <w:footnoteReference w:id="7"/>
      </w:r>
      <w:r w:rsidRPr="009C1763">
        <w:rPr>
          <w:rFonts w:cstheme="minorHAnsi"/>
        </w:rPr>
        <w:t xml:space="preserve"> </w:t>
      </w:r>
      <w:r w:rsidRPr="00B12DDD">
        <w:rPr>
          <w:rFonts w:cstheme="minorHAnsi"/>
        </w:rPr>
        <w:t>hospital</w:t>
      </w:r>
      <w:r w:rsidR="000E6D3A" w:rsidRPr="00B12DDD">
        <w:rPr>
          <w:rFonts w:cstheme="minorHAnsi"/>
        </w:rPr>
        <w:t>s</w:t>
      </w:r>
      <w:r w:rsidRPr="00B12DDD">
        <w:rPr>
          <w:rFonts w:cstheme="minorHAnsi"/>
        </w:rPr>
        <w:t xml:space="preserve"> are required </w:t>
      </w:r>
      <w:r w:rsidR="000925CB" w:rsidRPr="00B12DDD">
        <w:rPr>
          <w:rFonts w:cstheme="minorHAnsi"/>
        </w:rPr>
        <w:t xml:space="preserve">to have a DSH adjustment percentage greater than 11.75 </w:t>
      </w:r>
      <w:r w:rsidR="00114131" w:rsidRPr="00B12DDD">
        <w:rPr>
          <w:rFonts w:cstheme="minorHAnsi"/>
        </w:rPr>
        <w:t>%</w:t>
      </w:r>
      <w:r w:rsidRPr="00B12DDD">
        <w:rPr>
          <w:rFonts w:cstheme="minorHAnsi"/>
        </w:rPr>
        <w:t xml:space="preserve"> </w:t>
      </w:r>
      <w:r w:rsidR="00114131" w:rsidRPr="00B12DDD">
        <w:rPr>
          <w:rFonts w:cstheme="minorHAnsi"/>
        </w:rPr>
        <w:t xml:space="preserve">to qualify. If this percentage </w:t>
      </w:r>
      <w:r w:rsidR="00114131" w:rsidRPr="009C1763">
        <w:rPr>
          <w:rFonts w:cstheme="minorHAnsi"/>
        </w:rPr>
        <w:t>w</w:t>
      </w:r>
      <w:r w:rsidRPr="009C1763">
        <w:rPr>
          <w:rFonts w:cstheme="minorHAnsi"/>
        </w:rPr>
        <w:t xml:space="preserve">as </w:t>
      </w:r>
      <w:r w:rsidR="00114131" w:rsidRPr="009C1763">
        <w:rPr>
          <w:rFonts w:cstheme="minorHAnsi"/>
        </w:rPr>
        <w:t xml:space="preserve">to </w:t>
      </w:r>
      <w:r w:rsidRPr="009C1763">
        <w:rPr>
          <w:rFonts w:cstheme="minorHAnsi"/>
        </w:rPr>
        <w:t xml:space="preserve">fall below the 11.75%, the entity is required to inform OPA and discontinue purchasing drugs under the 340B program. </w:t>
      </w:r>
    </w:p>
    <w:p w14:paraId="3CE290C0" w14:textId="77777777" w:rsidR="005E2C3F" w:rsidRPr="009C1763" w:rsidRDefault="005E2C3F" w:rsidP="000A5A47">
      <w:pPr>
        <w:pStyle w:val="ListParagraph"/>
        <w:ind w:left="720"/>
        <w:jc w:val="both"/>
        <w:rPr>
          <w:rFonts w:cstheme="minorHAnsi"/>
        </w:rPr>
      </w:pPr>
    </w:p>
    <w:p w14:paraId="5AD7F85B" w14:textId="77777777" w:rsidR="003301BC" w:rsidRPr="009C1763" w:rsidRDefault="00584F1B" w:rsidP="000A5A47">
      <w:pPr>
        <w:pStyle w:val="ListParagraph"/>
        <w:ind w:left="720"/>
        <w:jc w:val="both"/>
        <w:rPr>
          <w:rFonts w:cstheme="minorHAnsi"/>
        </w:rPr>
      </w:pPr>
      <w:r w:rsidRPr="009C1763">
        <w:rPr>
          <w:rFonts w:cstheme="minorHAnsi"/>
        </w:rPr>
        <w:t xml:space="preserve">In the case of diversion, the most </w:t>
      </w:r>
      <w:r w:rsidR="00577E0D" w:rsidRPr="009C1763">
        <w:rPr>
          <w:rFonts w:cstheme="minorHAnsi"/>
        </w:rPr>
        <w:t xml:space="preserve">significant area of risk would be </w:t>
      </w:r>
      <w:r w:rsidR="00CE56DB" w:rsidRPr="009C1763">
        <w:rPr>
          <w:rFonts w:cstheme="minorHAnsi"/>
        </w:rPr>
        <w:t xml:space="preserve">the </w:t>
      </w:r>
      <w:r w:rsidRPr="009C1763">
        <w:rPr>
          <w:rFonts w:cstheme="minorHAnsi"/>
        </w:rPr>
        <w:t>mixed used area</w:t>
      </w:r>
      <w:r w:rsidRPr="00B10C7F">
        <w:rPr>
          <w:rStyle w:val="FootnoteReference"/>
          <w:rFonts w:cstheme="minorHAnsi"/>
          <w:color w:val="2A4D77"/>
        </w:rPr>
        <w:footnoteReference w:id="8"/>
      </w:r>
      <w:r w:rsidR="007775BF" w:rsidRPr="009C1763">
        <w:rPr>
          <w:rFonts w:cstheme="minorHAnsi"/>
        </w:rPr>
        <w:t xml:space="preserve"> where both patients who qualify and do not qualify for 340B are served</w:t>
      </w:r>
      <w:r w:rsidR="00577E0D" w:rsidRPr="009C1763">
        <w:rPr>
          <w:rFonts w:cstheme="minorHAnsi"/>
        </w:rPr>
        <w:t xml:space="preserve">. As such, </w:t>
      </w:r>
      <w:r w:rsidR="00CE56DB" w:rsidRPr="009C1763">
        <w:rPr>
          <w:rFonts w:cstheme="minorHAnsi"/>
        </w:rPr>
        <w:t xml:space="preserve">having an </w:t>
      </w:r>
      <w:r w:rsidR="00577E0D" w:rsidRPr="009C1763">
        <w:rPr>
          <w:rFonts w:cstheme="minorHAnsi"/>
        </w:rPr>
        <w:t>optimal sp</w:t>
      </w:r>
      <w:r w:rsidR="00A30C3B" w:rsidRPr="009C1763">
        <w:rPr>
          <w:rFonts w:cstheme="minorHAnsi"/>
        </w:rPr>
        <w:t>lit</w:t>
      </w:r>
      <w:r w:rsidR="00577E0D" w:rsidRPr="009C1763">
        <w:rPr>
          <w:rFonts w:cstheme="minorHAnsi"/>
        </w:rPr>
        <w:t xml:space="preserve"> billing</w:t>
      </w:r>
      <w:r w:rsidR="00CE56DB" w:rsidRPr="00B10C7F">
        <w:rPr>
          <w:rStyle w:val="FootnoteReference"/>
          <w:rFonts w:cstheme="minorHAnsi"/>
          <w:color w:val="2A4D77"/>
        </w:rPr>
        <w:footnoteReference w:id="9"/>
      </w:r>
      <w:r w:rsidR="00577E0D" w:rsidRPr="009C1763">
        <w:rPr>
          <w:rFonts w:cstheme="minorHAnsi"/>
        </w:rPr>
        <w:t xml:space="preserve"> </w:t>
      </w:r>
      <w:r w:rsidR="00CE56DB" w:rsidRPr="009C1763">
        <w:rPr>
          <w:rFonts w:cstheme="minorHAnsi"/>
        </w:rPr>
        <w:t xml:space="preserve">software is critical </w:t>
      </w:r>
      <w:r w:rsidR="007775BF" w:rsidRPr="009C1763">
        <w:rPr>
          <w:rFonts w:cstheme="minorHAnsi"/>
        </w:rPr>
        <w:t xml:space="preserve">to separate those drug charges that are 340B eligible.  </w:t>
      </w:r>
      <w:r w:rsidR="00577E0D" w:rsidRPr="009C1763">
        <w:rPr>
          <w:rFonts w:cstheme="minorHAnsi"/>
        </w:rPr>
        <w:t xml:space="preserve"> </w:t>
      </w:r>
      <w:r w:rsidR="007775BF" w:rsidRPr="009C1763">
        <w:rPr>
          <w:rFonts w:cstheme="minorHAnsi"/>
        </w:rPr>
        <w:t xml:space="preserve">However, the performance of the software is dependent on the quality and accuracy of information </w:t>
      </w:r>
      <w:r w:rsidR="00114131" w:rsidRPr="009C1763">
        <w:rPr>
          <w:rFonts w:cstheme="minorHAnsi"/>
        </w:rPr>
        <w:t>exported</w:t>
      </w:r>
      <w:r w:rsidR="007775BF" w:rsidRPr="009C1763">
        <w:rPr>
          <w:rFonts w:cstheme="minorHAnsi"/>
        </w:rPr>
        <w:t xml:space="preserve"> from the electronic health record. </w:t>
      </w:r>
    </w:p>
    <w:p w14:paraId="2A5F9666" w14:textId="77777777" w:rsidR="004E725F" w:rsidRPr="009C1763" w:rsidRDefault="004E725F" w:rsidP="000A5A47">
      <w:pPr>
        <w:pStyle w:val="ListParagraph"/>
        <w:ind w:left="720"/>
        <w:jc w:val="both"/>
        <w:rPr>
          <w:rFonts w:cstheme="minorHAnsi"/>
        </w:rPr>
      </w:pPr>
    </w:p>
    <w:p w14:paraId="30198AA4" w14:textId="77777777" w:rsidR="00A94EBB" w:rsidRPr="009C1763" w:rsidRDefault="00114131" w:rsidP="000A5A47">
      <w:pPr>
        <w:pStyle w:val="ListParagraph"/>
        <w:ind w:left="720"/>
        <w:jc w:val="both"/>
        <w:rPr>
          <w:rFonts w:cstheme="minorHAnsi"/>
        </w:rPr>
      </w:pPr>
      <w:r w:rsidRPr="009C1763">
        <w:rPr>
          <w:rFonts w:cstheme="minorHAnsi"/>
        </w:rPr>
        <w:t>Lastly</w:t>
      </w:r>
      <w:r w:rsidR="00132E53" w:rsidRPr="009C1763">
        <w:rPr>
          <w:rFonts w:cstheme="minorHAnsi"/>
        </w:rPr>
        <w:t xml:space="preserve">, health care organizations should have controls in place to prevent </w:t>
      </w:r>
      <w:r w:rsidRPr="009C1763">
        <w:rPr>
          <w:rFonts w:cstheme="minorHAnsi"/>
        </w:rPr>
        <w:t>duplicate discounts</w:t>
      </w:r>
      <w:r w:rsidR="00A05CAB" w:rsidRPr="009C1763">
        <w:rPr>
          <w:rFonts w:cstheme="minorHAnsi"/>
        </w:rPr>
        <w:t xml:space="preserve">. One of the </w:t>
      </w:r>
      <w:r w:rsidR="00DD7DAD" w:rsidRPr="009C1763">
        <w:rPr>
          <w:rFonts w:cstheme="minorHAnsi"/>
        </w:rPr>
        <w:t>possible risk</w:t>
      </w:r>
      <w:r w:rsidR="00B50702" w:rsidRPr="009C1763">
        <w:rPr>
          <w:rFonts w:cstheme="minorHAnsi"/>
        </w:rPr>
        <w:t>s</w:t>
      </w:r>
      <w:r w:rsidR="00DD7DAD" w:rsidRPr="009C1763">
        <w:rPr>
          <w:rFonts w:cstheme="minorHAnsi"/>
        </w:rPr>
        <w:t xml:space="preserve"> is the lack of </w:t>
      </w:r>
      <w:r w:rsidR="001511F8" w:rsidRPr="009C1763">
        <w:rPr>
          <w:rFonts w:cstheme="minorHAnsi"/>
        </w:rPr>
        <w:t>list</w:t>
      </w:r>
      <w:r w:rsidR="00DD7DAD" w:rsidRPr="009C1763">
        <w:rPr>
          <w:rFonts w:cstheme="minorHAnsi"/>
        </w:rPr>
        <w:t>ing</w:t>
      </w:r>
      <w:r w:rsidR="001511F8" w:rsidRPr="009C1763">
        <w:rPr>
          <w:rFonts w:cstheme="minorHAnsi"/>
        </w:rPr>
        <w:t xml:space="preserve"> the </w:t>
      </w:r>
      <w:r w:rsidR="00722633" w:rsidRPr="009C1763">
        <w:rPr>
          <w:rFonts w:cstheme="minorHAnsi"/>
        </w:rPr>
        <w:t xml:space="preserve">Medicaid provider number (i.e. national provider number) </w:t>
      </w:r>
      <w:r w:rsidR="001511F8" w:rsidRPr="009C1763">
        <w:rPr>
          <w:rFonts w:cstheme="minorHAnsi"/>
        </w:rPr>
        <w:t>on the HRSA M</w:t>
      </w:r>
      <w:r w:rsidR="00A6721A" w:rsidRPr="009C1763">
        <w:rPr>
          <w:rFonts w:cstheme="minorHAnsi"/>
        </w:rPr>
        <w:t>EF</w:t>
      </w:r>
      <w:r w:rsidR="001511F8" w:rsidRPr="009C1763">
        <w:rPr>
          <w:rFonts w:cstheme="minorHAnsi"/>
        </w:rPr>
        <w:t xml:space="preserve"> at the time of billing for Medicaid 340B </w:t>
      </w:r>
      <w:r w:rsidR="00A252AE" w:rsidRPr="009C1763">
        <w:rPr>
          <w:rFonts w:cstheme="minorHAnsi"/>
        </w:rPr>
        <w:t>drug charges</w:t>
      </w:r>
      <w:r w:rsidR="001511F8" w:rsidRPr="009C1763">
        <w:rPr>
          <w:rFonts w:cstheme="minorHAnsi"/>
        </w:rPr>
        <w:t>. Th</w:t>
      </w:r>
      <w:r w:rsidR="00DD7DAD" w:rsidRPr="009C1763">
        <w:rPr>
          <w:rFonts w:cstheme="minorHAnsi"/>
        </w:rPr>
        <w:t xml:space="preserve">e MEF </w:t>
      </w:r>
      <w:r w:rsidR="001511F8" w:rsidRPr="009C1763">
        <w:rPr>
          <w:rFonts w:cstheme="minorHAnsi"/>
        </w:rPr>
        <w:t xml:space="preserve">informs both </w:t>
      </w:r>
      <w:r w:rsidR="000E6D3A">
        <w:rPr>
          <w:rFonts w:cstheme="minorHAnsi"/>
        </w:rPr>
        <w:t>S</w:t>
      </w:r>
      <w:r w:rsidR="001511F8" w:rsidRPr="009C1763">
        <w:rPr>
          <w:rFonts w:cstheme="minorHAnsi"/>
        </w:rPr>
        <w:t xml:space="preserve">tate and </w:t>
      </w:r>
      <w:r w:rsidR="00A252AE" w:rsidRPr="009C1763">
        <w:rPr>
          <w:rFonts w:cstheme="minorHAnsi"/>
        </w:rPr>
        <w:t xml:space="preserve">manufacturers that </w:t>
      </w:r>
      <w:r w:rsidR="00DD7DAD" w:rsidRPr="009C1763">
        <w:rPr>
          <w:rFonts w:cstheme="minorHAnsi"/>
        </w:rPr>
        <w:t xml:space="preserve">340B </w:t>
      </w:r>
      <w:r w:rsidR="001511F8" w:rsidRPr="009C1763">
        <w:rPr>
          <w:rFonts w:cstheme="minorHAnsi"/>
        </w:rPr>
        <w:t>drug</w:t>
      </w:r>
      <w:r w:rsidR="00B50702" w:rsidRPr="009C1763">
        <w:rPr>
          <w:rFonts w:cstheme="minorHAnsi"/>
        </w:rPr>
        <w:t>s</w:t>
      </w:r>
      <w:r w:rsidR="00C45203" w:rsidRPr="009C1763">
        <w:rPr>
          <w:rFonts w:cstheme="minorHAnsi"/>
        </w:rPr>
        <w:t xml:space="preserve"> have a</w:t>
      </w:r>
      <w:r w:rsidR="00DD7DAD" w:rsidRPr="009C1763">
        <w:rPr>
          <w:rFonts w:cstheme="minorHAnsi"/>
        </w:rPr>
        <w:t>dministere</w:t>
      </w:r>
      <w:r w:rsidR="00C45203" w:rsidRPr="009C1763">
        <w:rPr>
          <w:rFonts w:cstheme="minorHAnsi"/>
        </w:rPr>
        <w:t>d</w:t>
      </w:r>
      <w:r w:rsidR="00A252AE" w:rsidRPr="009C1763">
        <w:rPr>
          <w:rFonts w:cstheme="minorHAnsi"/>
        </w:rPr>
        <w:t xml:space="preserve"> charges</w:t>
      </w:r>
      <w:r w:rsidR="00A6721A" w:rsidRPr="009C1763">
        <w:rPr>
          <w:rFonts w:cstheme="minorHAnsi"/>
        </w:rPr>
        <w:t xml:space="preserve"> that</w:t>
      </w:r>
      <w:r w:rsidR="00A252AE" w:rsidRPr="009C1763">
        <w:rPr>
          <w:rFonts w:cstheme="minorHAnsi"/>
        </w:rPr>
        <w:t xml:space="preserve"> ar</w:t>
      </w:r>
      <w:r w:rsidR="001511F8" w:rsidRPr="009C1763">
        <w:rPr>
          <w:rFonts w:cstheme="minorHAnsi"/>
        </w:rPr>
        <w:t xml:space="preserve">e not subject </w:t>
      </w:r>
      <w:r w:rsidR="00A252AE" w:rsidRPr="009C1763">
        <w:rPr>
          <w:rFonts w:cstheme="minorHAnsi"/>
        </w:rPr>
        <w:t>to Medicaid rebates therefore preventing duplicate discounts.</w:t>
      </w:r>
      <w:r w:rsidR="00925296" w:rsidRPr="009C1763">
        <w:rPr>
          <w:rFonts w:cstheme="minorHAnsi"/>
        </w:rPr>
        <w:t xml:space="preserve"> Hence, it is the </w:t>
      </w:r>
      <w:r w:rsidR="00925296" w:rsidRPr="00A506BC">
        <w:rPr>
          <w:rFonts w:cstheme="minorHAnsi"/>
          <w:color w:val="000000" w:themeColor="text1"/>
        </w:rPr>
        <w:t>institution</w:t>
      </w:r>
      <w:r w:rsidR="000E6D3A" w:rsidRPr="00A506BC">
        <w:rPr>
          <w:rFonts w:cstheme="minorHAnsi"/>
          <w:color w:val="000000" w:themeColor="text1"/>
        </w:rPr>
        <w:t>’</w:t>
      </w:r>
      <w:r w:rsidR="00925296" w:rsidRPr="00A506BC">
        <w:rPr>
          <w:rFonts w:cstheme="minorHAnsi"/>
          <w:color w:val="000000" w:themeColor="text1"/>
        </w:rPr>
        <w:t xml:space="preserve">s responsibility to ensure that the </w:t>
      </w:r>
      <w:r w:rsidR="008D2620" w:rsidRPr="00A506BC">
        <w:rPr>
          <w:rFonts w:cstheme="minorHAnsi"/>
          <w:color w:val="000000" w:themeColor="text1"/>
        </w:rPr>
        <w:t>Medicaid provider numbers are accurate</w:t>
      </w:r>
      <w:r w:rsidR="008D2620" w:rsidRPr="00A506BC">
        <w:rPr>
          <w:rFonts w:cstheme="minorHAnsi"/>
          <w:strike/>
          <w:color w:val="000000" w:themeColor="text1"/>
        </w:rPr>
        <w:t>,</w:t>
      </w:r>
      <w:r w:rsidR="008D2620" w:rsidRPr="00A506BC">
        <w:rPr>
          <w:rFonts w:cstheme="minorHAnsi"/>
          <w:color w:val="000000" w:themeColor="text1"/>
        </w:rPr>
        <w:t xml:space="preserve"> and Medicaid patient</w:t>
      </w:r>
      <w:r w:rsidR="004219E0" w:rsidRPr="00A506BC">
        <w:rPr>
          <w:rFonts w:cstheme="minorHAnsi"/>
          <w:color w:val="000000" w:themeColor="text1"/>
        </w:rPr>
        <w:t>s</w:t>
      </w:r>
      <w:r w:rsidR="008D2620" w:rsidRPr="00A506BC">
        <w:rPr>
          <w:rFonts w:cstheme="minorHAnsi"/>
          <w:color w:val="000000" w:themeColor="text1"/>
        </w:rPr>
        <w:t xml:space="preserve"> </w:t>
      </w:r>
      <w:r w:rsidR="008D2620" w:rsidRPr="009C1763">
        <w:rPr>
          <w:rFonts w:cstheme="minorHAnsi"/>
        </w:rPr>
        <w:t>using carve</w:t>
      </w:r>
      <w:r w:rsidR="004219E0">
        <w:rPr>
          <w:rFonts w:cstheme="minorHAnsi"/>
        </w:rPr>
        <w:t>-</w:t>
      </w:r>
      <w:r w:rsidR="008D2620" w:rsidRPr="009C1763">
        <w:rPr>
          <w:rFonts w:cstheme="minorHAnsi"/>
        </w:rPr>
        <w:t>in drugs are appropriately track</w:t>
      </w:r>
      <w:r w:rsidR="00B50702" w:rsidRPr="009C1763">
        <w:rPr>
          <w:rFonts w:cstheme="minorHAnsi"/>
        </w:rPr>
        <w:t>ed</w:t>
      </w:r>
      <w:r w:rsidR="008D2620" w:rsidRPr="009C1763">
        <w:rPr>
          <w:rFonts w:cstheme="minorHAnsi"/>
        </w:rPr>
        <w:t xml:space="preserve"> for 340B drug</w:t>
      </w:r>
      <w:r w:rsidR="00B50702" w:rsidRPr="009C1763">
        <w:rPr>
          <w:rFonts w:cstheme="minorHAnsi"/>
        </w:rPr>
        <w:t>s</w:t>
      </w:r>
      <w:r w:rsidR="008D2620" w:rsidRPr="009C1763">
        <w:rPr>
          <w:rFonts w:cstheme="minorHAnsi"/>
        </w:rPr>
        <w:t xml:space="preserve"> used. </w:t>
      </w:r>
    </w:p>
    <w:p w14:paraId="5EE88945" w14:textId="77777777" w:rsidR="001511F8" w:rsidRPr="009C1763" w:rsidRDefault="001511F8" w:rsidP="00C86DCC">
      <w:pPr>
        <w:pStyle w:val="ListParagraph"/>
        <w:ind w:left="720"/>
        <w:rPr>
          <w:rFonts w:cstheme="minorHAnsi"/>
        </w:rPr>
      </w:pPr>
    </w:p>
    <w:p w14:paraId="19E71826" w14:textId="77777777" w:rsidR="0019790E" w:rsidRPr="009C1763" w:rsidRDefault="0019790E">
      <w:pPr>
        <w:rPr>
          <w:rFonts w:eastAsia="Calibri" w:cstheme="minorHAnsi"/>
          <w:b/>
          <w:i/>
          <w:sz w:val="24"/>
        </w:rPr>
        <w:sectPr w:rsidR="0019790E" w:rsidRPr="009C1763" w:rsidSect="00CD2294">
          <w:type w:val="continuous"/>
          <w:pgSz w:w="12240" w:h="15840"/>
          <w:pgMar w:top="1440" w:right="1440" w:bottom="1440" w:left="1440" w:header="720" w:footer="720" w:gutter="0"/>
          <w:pgNumType w:start="0"/>
          <w:cols w:space="720"/>
          <w:docGrid w:linePitch="299"/>
        </w:sectPr>
      </w:pPr>
    </w:p>
    <w:p w14:paraId="51963BDA" w14:textId="77777777" w:rsidR="00700DEB" w:rsidRPr="00B10C7F" w:rsidRDefault="00700DEB" w:rsidP="00700DEB">
      <w:pPr>
        <w:pStyle w:val="Heading1"/>
        <w:numPr>
          <w:ilvl w:val="0"/>
          <w:numId w:val="26"/>
        </w:numPr>
        <w:rPr>
          <w:rFonts w:asciiTheme="minorHAnsi" w:hAnsiTheme="minorHAnsi" w:cstheme="minorHAnsi"/>
          <w:color w:val="2A4D77"/>
        </w:rPr>
      </w:pPr>
      <w:bookmarkStart w:id="12" w:name="_Toc53580954"/>
      <w:r w:rsidRPr="00B10C7F">
        <w:rPr>
          <w:rFonts w:asciiTheme="minorHAnsi" w:hAnsiTheme="minorHAnsi" w:cstheme="minorHAnsi"/>
          <w:color w:val="2A4D77"/>
        </w:rPr>
        <w:t>Inherent Risk</w:t>
      </w:r>
      <w:r w:rsidR="004219E0" w:rsidRPr="00B12DDD">
        <w:rPr>
          <w:rFonts w:asciiTheme="minorHAnsi" w:hAnsiTheme="minorHAnsi" w:cstheme="minorHAnsi"/>
          <w:color w:val="2A4D77"/>
        </w:rPr>
        <w:t>s</w:t>
      </w:r>
      <w:r w:rsidRPr="00B10C7F">
        <w:rPr>
          <w:rFonts w:asciiTheme="minorHAnsi" w:hAnsiTheme="minorHAnsi" w:cstheme="minorHAnsi"/>
          <w:color w:val="2A4D77"/>
        </w:rPr>
        <w:t xml:space="preserve"> </w:t>
      </w:r>
      <w:r w:rsidR="005F6823" w:rsidRPr="00B10C7F">
        <w:rPr>
          <w:rFonts w:asciiTheme="minorHAnsi" w:hAnsiTheme="minorHAnsi" w:cstheme="minorHAnsi"/>
          <w:color w:val="2A4D77"/>
        </w:rPr>
        <w:t>a</w:t>
      </w:r>
      <w:r w:rsidR="00BE3AE9" w:rsidRPr="00B10C7F">
        <w:rPr>
          <w:rFonts w:asciiTheme="minorHAnsi" w:hAnsiTheme="minorHAnsi" w:cstheme="minorHAnsi"/>
          <w:color w:val="2A4D77"/>
        </w:rPr>
        <w:t xml:space="preserve">nd </w:t>
      </w:r>
      <w:r w:rsidRPr="00B10C7F">
        <w:rPr>
          <w:rFonts w:asciiTheme="minorHAnsi" w:hAnsiTheme="minorHAnsi" w:cstheme="minorHAnsi"/>
          <w:color w:val="2A4D77"/>
        </w:rPr>
        <w:t>Audit Steps to Review Compliance</w:t>
      </w:r>
      <w:bookmarkEnd w:id="12"/>
    </w:p>
    <w:p w14:paraId="0B82F011" w14:textId="77777777" w:rsidR="00700DEB" w:rsidRPr="009C1763" w:rsidRDefault="00700DEB" w:rsidP="00700DEB">
      <w:pPr>
        <w:jc w:val="center"/>
        <w:rPr>
          <w:rFonts w:cstheme="minorHAnsi"/>
        </w:rPr>
      </w:pPr>
    </w:p>
    <w:tbl>
      <w:tblPr>
        <w:tblW w:w="16754" w:type="dxa"/>
        <w:tblInd w:w="341" w:type="dxa"/>
        <w:tblLook w:val="04A0" w:firstRow="1" w:lastRow="0" w:firstColumn="1" w:lastColumn="0" w:noHBand="0" w:noVBand="1"/>
      </w:tblPr>
      <w:tblGrid>
        <w:gridCol w:w="498"/>
        <w:gridCol w:w="1352"/>
        <w:gridCol w:w="4074"/>
        <w:gridCol w:w="10830"/>
      </w:tblGrid>
      <w:tr w:rsidR="00700DEB" w:rsidRPr="009C1763" w14:paraId="5AC3832A" w14:textId="77777777" w:rsidTr="000A5A47">
        <w:trPr>
          <w:trHeight w:val="300"/>
        </w:trPr>
        <w:tc>
          <w:tcPr>
            <w:tcW w:w="495"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394075CC" w14:textId="77777777" w:rsidR="00700DEB" w:rsidRPr="00B10C7F" w:rsidRDefault="00700DEB" w:rsidP="00963B55">
            <w:pPr>
              <w:jc w:val="cente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w:t>
            </w:r>
          </w:p>
        </w:tc>
        <w:tc>
          <w:tcPr>
            <w:tcW w:w="1352"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78F3E0BB" w14:textId="77777777" w:rsidR="00700DEB" w:rsidRPr="00B10C7F" w:rsidRDefault="00700DEB" w:rsidP="00963B55">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Process</w:t>
            </w:r>
          </w:p>
        </w:tc>
        <w:tc>
          <w:tcPr>
            <w:tcW w:w="4074"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3F016D08" w14:textId="77777777" w:rsidR="00700DEB" w:rsidRPr="00B10C7F" w:rsidRDefault="00700DEB" w:rsidP="00963B55">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Risk Event</w:t>
            </w:r>
          </w:p>
        </w:tc>
        <w:tc>
          <w:tcPr>
            <w:tcW w:w="10833"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34C09291" w14:textId="77777777" w:rsidR="00700DEB" w:rsidRPr="00B10C7F" w:rsidRDefault="00700DEB" w:rsidP="00963B55">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Test Step</w:t>
            </w:r>
          </w:p>
        </w:tc>
      </w:tr>
      <w:tr w:rsidR="00700DEB" w:rsidRPr="009C1763" w14:paraId="14C9405C" w14:textId="77777777" w:rsidTr="000A5A47">
        <w:trPr>
          <w:trHeight w:val="315"/>
        </w:trPr>
        <w:tc>
          <w:tcPr>
            <w:tcW w:w="495"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198BCED5" w14:textId="77777777" w:rsidR="00700DEB" w:rsidRPr="009C1763" w:rsidRDefault="00700DEB" w:rsidP="00963B55">
            <w:pPr>
              <w:rPr>
                <w:rFonts w:eastAsia="Times New Roman" w:cstheme="minorHAnsi"/>
                <w:b/>
                <w:bCs/>
                <w:sz w:val="20"/>
                <w:szCs w:val="20"/>
              </w:rPr>
            </w:pPr>
          </w:p>
        </w:tc>
        <w:tc>
          <w:tcPr>
            <w:tcW w:w="1352"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238A7C6D" w14:textId="77777777" w:rsidR="00700DEB" w:rsidRPr="009C1763" w:rsidRDefault="00700DEB" w:rsidP="00963B55">
            <w:pPr>
              <w:rPr>
                <w:rFonts w:eastAsia="Times New Roman" w:cstheme="minorHAnsi"/>
                <w:b/>
                <w:bCs/>
                <w:sz w:val="20"/>
                <w:szCs w:val="20"/>
              </w:rPr>
            </w:pPr>
          </w:p>
        </w:tc>
        <w:tc>
          <w:tcPr>
            <w:tcW w:w="4074"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12D41A2C" w14:textId="77777777" w:rsidR="00700DEB" w:rsidRPr="009C1763" w:rsidRDefault="00700DEB" w:rsidP="00963B55">
            <w:pPr>
              <w:rPr>
                <w:rFonts w:eastAsia="Times New Roman" w:cstheme="minorHAnsi"/>
                <w:b/>
                <w:bCs/>
                <w:sz w:val="20"/>
                <w:szCs w:val="20"/>
              </w:rPr>
            </w:pPr>
          </w:p>
        </w:tc>
        <w:tc>
          <w:tcPr>
            <w:tcW w:w="10833"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6DFCC2C7" w14:textId="77777777" w:rsidR="00700DEB" w:rsidRPr="009C1763" w:rsidRDefault="00700DEB" w:rsidP="00963B55">
            <w:pPr>
              <w:rPr>
                <w:rFonts w:eastAsia="Times New Roman" w:cstheme="minorHAnsi"/>
                <w:b/>
                <w:bCs/>
                <w:sz w:val="20"/>
                <w:szCs w:val="20"/>
              </w:rPr>
            </w:pPr>
          </w:p>
        </w:tc>
      </w:tr>
      <w:tr w:rsidR="00700DEB" w:rsidRPr="009C1763" w14:paraId="63218B1A" w14:textId="77777777" w:rsidTr="000A5A47">
        <w:trPr>
          <w:trHeight w:val="120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07B6CAD7" w14:textId="77777777" w:rsidR="00700DEB" w:rsidRPr="004A1A8D" w:rsidRDefault="00700DEB" w:rsidP="00963B55">
            <w:pPr>
              <w:jc w:val="center"/>
              <w:rPr>
                <w:rFonts w:eastAsia="Times New Roman" w:cstheme="minorHAnsi"/>
                <w:b/>
                <w:color w:val="2A4D77"/>
              </w:rPr>
            </w:pPr>
            <w:r w:rsidRPr="004A1A8D">
              <w:rPr>
                <w:rFonts w:eastAsia="Times New Roman" w:cstheme="minorHAnsi"/>
                <w:b/>
                <w:color w:val="2A4D77"/>
              </w:rPr>
              <w:t>1.0</w:t>
            </w:r>
          </w:p>
        </w:tc>
        <w:tc>
          <w:tcPr>
            <w:tcW w:w="1352" w:type="dxa"/>
            <w:tcBorders>
              <w:top w:val="single" w:sz="4" w:space="0" w:color="auto"/>
              <w:left w:val="nil"/>
              <w:bottom w:val="single" w:sz="4" w:space="0" w:color="auto"/>
              <w:right w:val="single" w:sz="4" w:space="0" w:color="auto"/>
            </w:tcBorders>
            <w:shd w:val="clear" w:color="auto" w:fill="auto"/>
            <w:hideMark/>
          </w:tcPr>
          <w:p w14:paraId="0A903D2D" w14:textId="77777777" w:rsidR="00700DEB" w:rsidRPr="00B10C7F" w:rsidRDefault="00700DEB" w:rsidP="00963B55">
            <w:pPr>
              <w:rPr>
                <w:rFonts w:eastAsia="Times New Roman" w:cstheme="minorHAnsi"/>
                <w:b/>
                <w:bCs/>
                <w:color w:val="2A4D77"/>
              </w:rPr>
            </w:pPr>
            <w:r w:rsidRPr="00B10C7F">
              <w:rPr>
                <w:rFonts w:eastAsia="Times New Roman" w:cstheme="minorHAnsi"/>
                <w:b/>
                <w:bCs/>
                <w:color w:val="2A4D77"/>
              </w:rPr>
              <w:t>Governance</w:t>
            </w:r>
          </w:p>
        </w:tc>
        <w:tc>
          <w:tcPr>
            <w:tcW w:w="4074" w:type="dxa"/>
            <w:tcBorders>
              <w:top w:val="single" w:sz="4" w:space="0" w:color="auto"/>
              <w:left w:val="nil"/>
              <w:bottom w:val="single" w:sz="4" w:space="0" w:color="auto"/>
              <w:right w:val="single" w:sz="4" w:space="0" w:color="auto"/>
            </w:tcBorders>
            <w:shd w:val="clear" w:color="auto" w:fill="auto"/>
            <w:hideMark/>
          </w:tcPr>
          <w:p w14:paraId="5A879B1F" w14:textId="77777777" w:rsidR="00700DEB" w:rsidRPr="009C1763" w:rsidRDefault="00700DEB" w:rsidP="00963B55">
            <w:pPr>
              <w:spacing w:after="240"/>
              <w:rPr>
                <w:rFonts w:eastAsia="Times New Roman" w:cstheme="minorHAnsi"/>
              </w:rPr>
            </w:pPr>
            <w:r w:rsidRPr="009C1763">
              <w:rPr>
                <w:rFonts w:eastAsia="Times New Roman" w:cstheme="minorHAnsi"/>
              </w:rPr>
              <w:t xml:space="preserve">No policies and procedures in place to govern the 340B </w:t>
            </w:r>
            <w:r w:rsidR="00E900C9" w:rsidRPr="009C1763">
              <w:rPr>
                <w:rFonts w:eastAsia="Times New Roman" w:cstheme="minorHAnsi"/>
              </w:rPr>
              <w:t>Drug Discount Program</w:t>
            </w:r>
          </w:p>
        </w:tc>
        <w:tc>
          <w:tcPr>
            <w:tcW w:w="10833" w:type="dxa"/>
            <w:tcBorders>
              <w:top w:val="single" w:sz="4" w:space="0" w:color="auto"/>
              <w:left w:val="nil"/>
              <w:bottom w:val="single" w:sz="4" w:space="0" w:color="auto"/>
              <w:right w:val="single" w:sz="4" w:space="0" w:color="auto"/>
            </w:tcBorders>
            <w:shd w:val="clear" w:color="auto" w:fill="auto"/>
            <w:hideMark/>
          </w:tcPr>
          <w:p w14:paraId="1F56E1CF" w14:textId="77777777" w:rsidR="00700DEB" w:rsidRPr="009C1763" w:rsidRDefault="00700DEB" w:rsidP="00204E46">
            <w:pPr>
              <w:rPr>
                <w:rFonts w:eastAsia="Times New Roman" w:cstheme="minorHAnsi"/>
              </w:rPr>
            </w:pPr>
            <w:r w:rsidRPr="009C1763">
              <w:rPr>
                <w:rFonts w:eastAsia="Times New Roman" w:cstheme="minorHAnsi"/>
              </w:rPr>
              <w:t xml:space="preserve">Obtain all policies and procedures used to govern the 340B Program and determine whether these policies </w:t>
            </w:r>
            <w:r w:rsidR="00204E46" w:rsidRPr="009C1763">
              <w:rPr>
                <w:rFonts w:eastAsia="Times New Roman" w:cstheme="minorHAnsi"/>
              </w:rPr>
              <w:t xml:space="preserve">address </w:t>
            </w:r>
            <w:r w:rsidRPr="009C1763">
              <w:rPr>
                <w:rFonts w:eastAsia="Times New Roman" w:cstheme="minorHAnsi"/>
              </w:rPr>
              <w:t xml:space="preserve">the HRSA/OPA requirements. </w:t>
            </w:r>
          </w:p>
        </w:tc>
      </w:tr>
      <w:tr w:rsidR="00700DEB" w:rsidRPr="009C1763" w14:paraId="12C9A552" w14:textId="77777777" w:rsidTr="000A5A47">
        <w:trPr>
          <w:trHeight w:val="3480"/>
        </w:trPr>
        <w:tc>
          <w:tcPr>
            <w:tcW w:w="495" w:type="dxa"/>
            <w:tcBorders>
              <w:top w:val="nil"/>
              <w:left w:val="single" w:sz="4" w:space="0" w:color="auto"/>
              <w:bottom w:val="single" w:sz="4" w:space="0" w:color="auto"/>
              <w:right w:val="single" w:sz="4" w:space="0" w:color="auto"/>
            </w:tcBorders>
            <w:shd w:val="clear" w:color="auto" w:fill="auto"/>
            <w:hideMark/>
          </w:tcPr>
          <w:p w14:paraId="18E25A89" w14:textId="77777777" w:rsidR="00700DEB" w:rsidRPr="004A1A8D" w:rsidRDefault="00700DEB" w:rsidP="00963B55">
            <w:pPr>
              <w:jc w:val="center"/>
              <w:rPr>
                <w:rFonts w:eastAsia="Times New Roman" w:cstheme="minorHAnsi"/>
                <w:b/>
                <w:color w:val="2A4D77"/>
              </w:rPr>
            </w:pPr>
            <w:r w:rsidRPr="004A1A8D">
              <w:rPr>
                <w:rFonts w:eastAsia="Times New Roman" w:cstheme="minorHAnsi"/>
                <w:b/>
                <w:color w:val="2A4D77"/>
              </w:rPr>
              <w:t>2.0</w:t>
            </w:r>
          </w:p>
        </w:tc>
        <w:tc>
          <w:tcPr>
            <w:tcW w:w="1352" w:type="dxa"/>
            <w:tcBorders>
              <w:top w:val="nil"/>
              <w:left w:val="nil"/>
              <w:bottom w:val="single" w:sz="4" w:space="0" w:color="auto"/>
              <w:right w:val="single" w:sz="4" w:space="0" w:color="auto"/>
            </w:tcBorders>
            <w:shd w:val="clear" w:color="auto" w:fill="auto"/>
            <w:hideMark/>
          </w:tcPr>
          <w:p w14:paraId="3EB7F770" w14:textId="77777777" w:rsidR="00700DEB" w:rsidRPr="00B10C7F" w:rsidRDefault="00700DEB" w:rsidP="00963B55">
            <w:pPr>
              <w:spacing w:after="240"/>
              <w:rPr>
                <w:rFonts w:eastAsia="Times New Roman" w:cstheme="minorHAnsi"/>
                <w:color w:val="2A4D77"/>
              </w:rPr>
            </w:pPr>
            <w:r w:rsidRPr="00B10C7F">
              <w:rPr>
                <w:rFonts w:eastAsia="Times New Roman" w:cstheme="minorHAnsi"/>
                <w:b/>
                <w:bCs/>
                <w:color w:val="2A4D77"/>
              </w:rPr>
              <w:t>Eligible Entities</w:t>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p>
        </w:tc>
        <w:tc>
          <w:tcPr>
            <w:tcW w:w="4074" w:type="dxa"/>
            <w:tcBorders>
              <w:top w:val="nil"/>
              <w:left w:val="nil"/>
              <w:bottom w:val="single" w:sz="4" w:space="0" w:color="auto"/>
              <w:right w:val="single" w:sz="4" w:space="0" w:color="auto"/>
            </w:tcBorders>
            <w:shd w:val="clear" w:color="auto" w:fill="auto"/>
            <w:hideMark/>
          </w:tcPr>
          <w:p w14:paraId="329C49F9" w14:textId="77777777" w:rsidR="00700DEB" w:rsidRPr="009C1763" w:rsidRDefault="00700DEB" w:rsidP="00204E46">
            <w:pPr>
              <w:rPr>
                <w:rFonts w:eastAsia="Times New Roman" w:cstheme="minorHAnsi"/>
              </w:rPr>
            </w:pPr>
            <w:r w:rsidRPr="009C1763">
              <w:rPr>
                <w:rFonts w:eastAsia="Times New Roman" w:cstheme="minorHAnsi"/>
              </w:rPr>
              <w:t>Incomplete/inaccurate record of the parent entity and child site registration capture</w:t>
            </w:r>
            <w:r w:rsidR="008713B7" w:rsidRPr="009C1763">
              <w:rPr>
                <w:rFonts w:eastAsia="Times New Roman" w:cstheme="minorHAnsi"/>
              </w:rPr>
              <w:t>d</w:t>
            </w:r>
            <w:r w:rsidRPr="009C1763">
              <w:rPr>
                <w:rFonts w:eastAsia="Times New Roman" w:cstheme="minorHAnsi"/>
              </w:rPr>
              <w:t xml:space="preserve"> in the HRSA database. In addition, the covered entity (i.e. facility, outpatient clinic, child site etc.), where 340B drugs are dispensed/administered, is not listed on:</w:t>
            </w:r>
            <w:r w:rsidRPr="009C1763">
              <w:rPr>
                <w:rFonts w:eastAsia="Times New Roman" w:cstheme="minorHAnsi"/>
              </w:rPr>
              <w:br/>
              <w:t xml:space="preserve">1. </w:t>
            </w:r>
            <w:r w:rsidR="005F6823" w:rsidRPr="009C1763">
              <w:rPr>
                <w:rFonts w:eastAsia="Times New Roman" w:cstheme="minorHAnsi"/>
              </w:rPr>
              <w:t>A</w:t>
            </w:r>
            <w:r w:rsidRPr="009C1763">
              <w:rPr>
                <w:rFonts w:eastAsia="Times New Roman" w:cstheme="minorHAnsi"/>
              </w:rPr>
              <w:t xml:space="preserve"> line of the most currently filed cost report that is reimbursable under Medi</w:t>
            </w:r>
            <w:r w:rsidR="00204E46" w:rsidRPr="009C1763">
              <w:rPr>
                <w:rFonts w:eastAsia="Times New Roman" w:cstheme="minorHAnsi"/>
              </w:rPr>
              <w:t>care</w:t>
            </w:r>
            <w:r w:rsidRPr="009C1763">
              <w:rPr>
                <w:rFonts w:eastAsia="Times New Roman" w:cstheme="minorHAnsi"/>
              </w:rPr>
              <w:t xml:space="preserve"> and;</w:t>
            </w:r>
            <w:r w:rsidRPr="009C1763">
              <w:rPr>
                <w:rFonts w:eastAsia="Times New Roman" w:cstheme="minorHAnsi"/>
              </w:rPr>
              <w:br/>
              <w:t xml:space="preserve">2. </w:t>
            </w:r>
            <w:r w:rsidR="005F6823" w:rsidRPr="009C1763">
              <w:rPr>
                <w:rFonts w:eastAsia="Times New Roman" w:cstheme="minorHAnsi"/>
              </w:rPr>
              <w:t>T</w:t>
            </w:r>
            <w:r w:rsidRPr="009C1763">
              <w:rPr>
                <w:rFonts w:eastAsia="Times New Roman" w:cstheme="minorHAnsi"/>
              </w:rPr>
              <w:t>he services provided at the facility/clinic/child site do not have associated outpatient Medicare costs and charges.</w:t>
            </w:r>
          </w:p>
        </w:tc>
        <w:tc>
          <w:tcPr>
            <w:tcW w:w="10833" w:type="dxa"/>
            <w:tcBorders>
              <w:top w:val="nil"/>
              <w:left w:val="nil"/>
              <w:bottom w:val="single" w:sz="4" w:space="0" w:color="auto"/>
              <w:right w:val="single" w:sz="4" w:space="0" w:color="auto"/>
            </w:tcBorders>
            <w:shd w:val="clear" w:color="000000" w:fill="FFFFFF"/>
            <w:hideMark/>
          </w:tcPr>
          <w:p w14:paraId="30CE9778" w14:textId="77777777" w:rsidR="00700DEB" w:rsidRPr="009C1763" w:rsidRDefault="00700DEB" w:rsidP="00700DEB">
            <w:pPr>
              <w:pStyle w:val="ListParagraph"/>
              <w:widowControl/>
              <w:numPr>
                <w:ilvl w:val="0"/>
                <w:numId w:val="30"/>
              </w:numPr>
              <w:contextualSpacing/>
              <w:rPr>
                <w:rFonts w:eastAsia="Times New Roman" w:cstheme="minorHAnsi"/>
              </w:rPr>
            </w:pPr>
            <w:r w:rsidRPr="009C1763">
              <w:rPr>
                <w:rFonts w:eastAsia="Times New Roman" w:cstheme="minorHAnsi"/>
              </w:rPr>
              <w:t>Obtain a list of all covered entities within the healthcare system</w:t>
            </w:r>
          </w:p>
          <w:p w14:paraId="0095B169" w14:textId="77777777" w:rsidR="00700DEB" w:rsidRPr="009C1763" w:rsidRDefault="00700DEB" w:rsidP="00700DEB">
            <w:pPr>
              <w:pStyle w:val="ListParagraph"/>
              <w:widowControl/>
              <w:numPr>
                <w:ilvl w:val="0"/>
                <w:numId w:val="30"/>
              </w:numPr>
              <w:contextualSpacing/>
              <w:rPr>
                <w:rFonts w:eastAsia="Times New Roman" w:cstheme="minorHAnsi"/>
              </w:rPr>
            </w:pPr>
            <w:r w:rsidRPr="009C1763">
              <w:rPr>
                <w:rFonts w:eastAsia="Times New Roman" w:cstheme="minorHAnsi"/>
              </w:rPr>
              <w:t>Obtain the most recently filed Medicare Cost Report</w:t>
            </w:r>
          </w:p>
          <w:p w14:paraId="09C3C252" w14:textId="77777777" w:rsidR="00700DEB" w:rsidRPr="009C1763" w:rsidRDefault="00700DEB" w:rsidP="00700DEB">
            <w:pPr>
              <w:pStyle w:val="ListParagraph"/>
              <w:widowControl/>
              <w:numPr>
                <w:ilvl w:val="0"/>
                <w:numId w:val="30"/>
              </w:numPr>
              <w:contextualSpacing/>
              <w:rPr>
                <w:rFonts w:eastAsia="Times New Roman" w:cstheme="minorHAnsi"/>
              </w:rPr>
            </w:pPr>
            <w:r w:rsidRPr="009C1763">
              <w:rPr>
                <w:rFonts w:eastAsia="Times New Roman" w:cstheme="minorHAnsi"/>
              </w:rPr>
              <w:t>Obtain the site for HRSA/OPA database in which the covered entities are listed</w:t>
            </w:r>
          </w:p>
          <w:p w14:paraId="3602679B" w14:textId="77777777" w:rsidR="00700DEB" w:rsidRPr="009C1763" w:rsidRDefault="00700DEB" w:rsidP="00700DEB">
            <w:pPr>
              <w:pStyle w:val="ListParagraph"/>
              <w:widowControl/>
              <w:numPr>
                <w:ilvl w:val="0"/>
                <w:numId w:val="30"/>
              </w:numPr>
              <w:contextualSpacing/>
              <w:rPr>
                <w:rFonts w:eastAsia="Times New Roman" w:cstheme="minorHAnsi"/>
              </w:rPr>
            </w:pPr>
            <w:r w:rsidRPr="009C1763">
              <w:rPr>
                <w:rFonts w:eastAsia="Times New Roman" w:cstheme="minorHAnsi"/>
              </w:rPr>
              <w:t xml:space="preserve">Compare the entities listed as 340B eligible on the HRSA/OPA website with the list provided in step 1 </w:t>
            </w:r>
            <w:r w:rsidR="008713B7" w:rsidRPr="009C1763">
              <w:rPr>
                <w:rFonts w:eastAsia="Times New Roman" w:cstheme="minorHAnsi"/>
              </w:rPr>
              <w:t>to ensure that all information is the same</w:t>
            </w:r>
          </w:p>
          <w:p w14:paraId="154D83E9" w14:textId="77777777" w:rsidR="00700DEB" w:rsidRPr="009C1763" w:rsidRDefault="00700DEB" w:rsidP="00700DEB">
            <w:pPr>
              <w:pStyle w:val="ListParagraph"/>
              <w:widowControl/>
              <w:numPr>
                <w:ilvl w:val="0"/>
                <w:numId w:val="30"/>
              </w:numPr>
              <w:contextualSpacing/>
              <w:rPr>
                <w:rFonts w:eastAsia="Times New Roman" w:cstheme="minorHAnsi"/>
              </w:rPr>
            </w:pPr>
            <w:r w:rsidRPr="009C1763">
              <w:rPr>
                <w:rFonts w:eastAsia="Times New Roman" w:cstheme="minorHAnsi"/>
              </w:rPr>
              <w:t xml:space="preserve">Compare the entities listed in step 1 against the most recently filed Medicare Cost Report, and then perform the following: </w:t>
            </w:r>
          </w:p>
          <w:p w14:paraId="59CA2E4D" w14:textId="77777777" w:rsidR="00CA195D" w:rsidRPr="00B10C7F" w:rsidRDefault="00700DEB" w:rsidP="00B10C7F">
            <w:pPr>
              <w:pStyle w:val="ListParagraph"/>
              <w:numPr>
                <w:ilvl w:val="0"/>
                <w:numId w:val="41"/>
              </w:numPr>
              <w:rPr>
                <w:rFonts w:eastAsia="Times New Roman" w:cstheme="minorHAnsi"/>
              </w:rPr>
            </w:pPr>
            <w:r w:rsidRPr="00B10C7F">
              <w:rPr>
                <w:rFonts w:eastAsia="Times New Roman" w:cstheme="minorHAnsi"/>
              </w:rPr>
              <w:t>Validated that covered entities and child site eligible for 340B location are</w:t>
            </w:r>
            <w:r w:rsidR="00AA2C60" w:rsidRPr="00B10C7F">
              <w:rPr>
                <w:rFonts w:eastAsia="Times New Roman" w:cstheme="minorHAnsi"/>
              </w:rPr>
              <w:t xml:space="preserve"> listed on the HRSA/OPA website,</w:t>
            </w:r>
            <w:r w:rsidR="00CA195D" w:rsidRPr="00B10C7F">
              <w:rPr>
                <w:rFonts w:eastAsia="Times New Roman" w:cstheme="minorHAnsi"/>
              </w:rPr>
              <w:t xml:space="preserve"> including the accuracy of the </w:t>
            </w:r>
            <w:r w:rsidR="00AA2C60" w:rsidRPr="00B10C7F">
              <w:rPr>
                <w:rFonts w:eastAsia="Times New Roman" w:cstheme="minorHAnsi"/>
              </w:rPr>
              <w:t>addresses</w:t>
            </w:r>
            <w:r w:rsidR="00CA195D" w:rsidRPr="00B10C7F">
              <w:rPr>
                <w:rFonts w:eastAsia="Times New Roman" w:cstheme="minorHAnsi"/>
              </w:rPr>
              <w:t>.</w:t>
            </w:r>
          </w:p>
          <w:p w14:paraId="3C5F23B4" w14:textId="77777777" w:rsidR="00CA195D" w:rsidRPr="00B10C7F" w:rsidRDefault="00700DEB" w:rsidP="00B10C7F">
            <w:pPr>
              <w:pStyle w:val="ListParagraph"/>
              <w:numPr>
                <w:ilvl w:val="0"/>
                <w:numId w:val="41"/>
              </w:numPr>
              <w:rPr>
                <w:rFonts w:eastAsia="Times New Roman" w:cstheme="minorHAnsi"/>
              </w:rPr>
            </w:pPr>
            <w:r w:rsidRPr="00B10C7F">
              <w:rPr>
                <w:rFonts w:eastAsia="Times New Roman" w:cstheme="minorHAnsi"/>
              </w:rPr>
              <w:t xml:space="preserve">Validate that covered entities </w:t>
            </w:r>
            <w:r w:rsidR="00CA195D" w:rsidRPr="00B10C7F">
              <w:rPr>
                <w:rFonts w:eastAsia="Times New Roman" w:cstheme="minorHAnsi"/>
              </w:rPr>
              <w:t xml:space="preserve">including child sites </w:t>
            </w:r>
            <w:r w:rsidRPr="00B10C7F">
              <w:rPr>
                <w:rFonts w:eastAsia="Times New Roman" w:cstheme="minorHAnsi"/>
              </w:rPr>
              <w:t>are listed on the reimbursable lines of the Medicare cost report (i.e., anything listed between lines 50 to 118 of the most recently filed Medicare cost report i</w:t>
            </w:r>
            <w:r w:rsidR="00CA195D" w:rsidRPr="00B10C7F">
              <w:rPr>
                <w:rFonts w:eastAsia="Times New Roman" w:cstheme="minorHAnsi"/>
              </w:rPr>
              <w:t xml:space="preserve">s considered reimbursable). </w:t>
            </w:r>
          </w:p>
          <w:p w14:paraId="28E9812A" w14:textId="77777777" w:rsidR="00CA195D" w:rsidRPr="00B10C7F" w:rsidRDefault="00700DEB" w:rsidP="00B10C7F">
            <w:pPr>
              <w:pStyle w:val="ListParagraph"/>
              <w:numPr>
                <w:ilvl w:val="0"/>
                <w:numId w:val="41"/>
              </w:numPr>
              <w:rPr>
                <w:rFonts w:eastAsia="Times New Roman" w:cstheme="minorHAnsi"/>
              </w:rPr>
            </w:pPr>
            <w:r w:rsidRPr="00B10C7F">
              <w:rPr>
                <w:rFonts w:eastAsia="Times New Roman" w:cstheme="minorHAnsi"/>
              </w:rPr>
              <w:t>Validate that services provided at the 340B locations have associated outpatient Medicare costs and charges on the Cost Report.</w:t>
            </w:r>
          </w:p>
          <w:p w14:paraId="210CFAC2" w14:textId="77777777" w:rsidR="00CA195D" w:rsidRPr="00B10C7F" w:rsidRDefault="00700DEB" w:rsidP="00B10C7F">
            <w:pPr>
              <w:pStyle w:val="ListParagraph"/>
              <w:numPr>
                <w:ilvl w:val="0"/>
                <w:numId w:val="41"/>
              </w:numPr>
              <w:rPr>
                <w:rFonts w:eastAsia="Times New Roman" w:cstheme="minorHAnsi"/>
              </w:rPr>
            </w:pPr>
            <w:r w:rsidRPr="00B10C7F">
              <w:rPr>
                <w:rFonts w:eastAsia="Times New Roman" w:cstheme="minorHAnsi"/>
              </w:rPr>
              <w:t>Validate that the recertification dates listed are current and within the deadline for hospitals annual 340B recertification</w:t>
            </w:r>
          </w:p>
          <w:p w14:paraId="09FC976E" w14:textId="77777777" w:rsidR="00700DEB" w:rsidRPr="00B10C7F" w:rsidRDefault="00700DEB" w:rsidP="00B10C7F">
            <w:pPr>
              <w:pStyle w:val="ListParagraph"/>
              <w:numPr>
                <w:ilvl w:val="0"/>
                <w:numId w:val="41"/>
              </w:numPr>
              <w:rPr>
                <w:rFonts w:eastAsia="Times New Roman" w:cstheme="minorHAnsi"/>
              </w:rPr>
            </w:pPr>
            <w:r w:rsidRPr="00B10C7F">
              <w:rPr>
                <w:rFonts w:eastAsia="Times New Roman" w:cstheme="minorHAnsi"/>
              </w:rPr>
              <w:t>Validate that covered entities perform a quarterly review of the facilities and child sites listed on the HRSA/OPA database</w:t>
            </w:r>
          </w:p>
          <w:p w14:paraId="3A4A1E38" w14:textId="77777777" w:rsidR="00CA195D" w:rsidRPr="00B10C7F" w:rsidRDefault="00CA195D" w:rsidP="00B10C7F">
            <w:pPr>
              <w:pStyle w:val="ListParagraph"/>
              <w:numPr>
                <w:ilvl w:val="0"/>
                <w:numId w:val="41"/>
              </w:numPr>
              <w:rPr>
                <w:rFonts w:eastAsia="Times New Roman" w:cstheme="minorHAnsi"/>
              </w:rPr>
            </w:pPr>
            <w:r w:rsidRPr="00B10C7F">
              <w:rPr>
                <w:rFonts w:eastAsia="Times New Roman" w:cstheme="minorHAnsi"/>
              </w:rPr>
              <w:t>Validate that the most recently filed Medicare cost report document a DSH level of 11.75% or greater</w:t>
            </w:r>
          </w:p>
          <w:p w14:paraId="48761A38" w14:textId="77777777" w:rsidR="00917EFD" w:rsidRPr="00B10C7F" w:rsidRDefault="00917EFD" w:rsidP="00B10C7F">
            <w:pPr>
              <w:pStyle w:val="ListParagraph"/>
              <w:numPr>
                <w:ilvl w:val="0"/>
                <w:numId w:val="41"/>
              </w:numPr>
              <w:rPr>
                <w:rFonts w:eastAsia="Times New Roman" w:cstheme="minorHAnsi"/>
              </w:rPr>
            </w:pPr>
            <w:r w:rsidRPr="00B10C7F">
              <w:rPr>
                <w:rFonts w:eastAsia="Times New Roman" w:cstheme="minorHAnsi"/>
              </w:rPr>
              <w:t xml:space="preserve">Validate that the OPAIS database website is only available to authorized personnel </w:t>
            </w:r>
          </w:p>
          <w:p w14:paraId="75D8A1F2" w14:textId="77777777" w:rsidR="00CA195D" w:rsidRPr="009C1763" w:rsidRDefault="00CA195D" w:rsidP="00450688">
            <w:pPr>
              <w:pStyle w:val="ListParagraph"/>
              <w:ind w:left="360"/>
              <w:rPr>
                <w:rFonts w:eastAsia="Times New Roman" w:cstheme="minorHAnsi"/>
              </w:rPr>
            </w:pPr>
          </w:p>
        </w:tc>
      </w:tr>
    </w:tbl>
    <w:p w14:paraId="5CD7FD8C" w14:textId="77777777" w:rsidR="00700DEB" w:rsidRPr="009C1763" w:rsidRDefault="00700DEB" w:rsidP="00700DEB">
      <w:pPr>
        <w:rPr>
          <w:rFonts w:cstheme="minorHAnsi"/>
        </w:rPr>
      </w:pPr>
    </w:p>
    <w:p w14:paraId="6526DDFE" w14:textId="77777777" w:rsidR="00700DEB" w:rsidRPr="009C1763" w:rsidRDefault="00700DEB" w:rsidP="00700DEB">
      <w:pPr>
        <w:rPr>
          <w:rFonts w:cstheme="minorHAnsi"/>
        </w:rPr>
      </w:pPr>
    </w:p>
    <w:p w14:paraId="1F1F35F6" w14:textId="77777777" w:rsidR="00700DEB" w:rsidRPr="009C1763" w:rsidRDefault="00700DEB" w:rsidP="00700DEB">
      <w:pPr>
        <w:rPr>
          <w:rFonts w:cstheme="minorHAnsi"/>
        </w:rPr>
      </w:pPr>
    </w:p>
    <w:p w14:paraId="0B65EC4C" w14:textId="1648AC89" w:rsidR="00700DEB" w:rsidRPr="009C1763" w:rsidRDefault="00A506BC" w:rsidP="00700DEB">
      <w:pPr>
        <w:rPr>
          <w:rFonts w:cstheme="minorHAnsi"/>
        </w:rPr>
      </w:pPr>
      <w:r>
        <w:rPr>
          <w:noProof/>
        </w:rPr>
        <mc:AlternateContent>
          <mc:Choice Requires="wps">
            <w:drawing>
              <wp:anchor distT="0" distB="0" distL="114300" distR="114300" simplePos="0" relativeHeight="251674624" behindDoc="0" locked="0" layoutInCell="1" allowOverlap="1" wp14:anchorId="32810A0E" wp14:editId="15B9F6EC">
                <wp:simplePos x="0" y="0"/>
                <wp:positionH relativeFrom="column">
                  <wp:posOffset>10910570</wp:posOffset>
                </wp:positionH>
                <wp:positionV relativeFrom="paragraph">
                  <wp:posOffset>506095</wp:posOffset>
                </wp:positionV>
                <wp:extent cx="4254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chemeClr val="lt1"/>
                        </a:solidFill>
                        <a:ln w="6350">
                          <a:noFill/>
                        </a:ln>
                      </wps:spPr>
                      <wps:txbx>
                        <w:txbxContent>
                          <w:p w14:paraId="4BF77FD8" w14:textId="0C5DDFB8" w:rsidR="009F044A" w:rsidRPr="009F044A" w:rsidRDefault="009F044A" w:rsidP="009F044A">
                            <w:pPr>
                              <w:rPr>
                                <w:color w:val="8EAADB" w:themeColor="accent1" w:themeTint="99"/>
                              </w:rPr>
                            </w:pPr>
                            <w:r>
                              <w:rPr>
                                <w:color w:val="8EAADB" w:themeColor="accent1" w:themeTint="99"/>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10A0E" id="_x0000_t202" coordsize="21600,21600" o:spt="202" path="m,l,21600r21600,l21600,xe">
                <v:stroke joinstyle="miter"/>
                <v:path gradientshapeok="t" o:connecttype="rect"/>
              </v:shapetype>
              <v:shape id="Text Box 9" o:spid="_x0000_s1026" type="#_x0000_t202" style="position:absolute;margin-left:859.1pt;margin-top:39.85pt;width:3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" fillcolor="white [3201]" stroked="f" strokeweight=".5pt">
                <v:textbox>
                  <w:txbxContent>
                    <w:p w14:paraId="4BF77FD8" w14:textId="0C5DDFB8" w:rsidR="009F044A" w:rsidRPr="009F044A" w:rsidRDefault="009F044A" w:rsidP="009F044A">
                      <w:pPr>
                        <w:rPr>
                          <w:color w:val="8EAADB" w:themeColor="accent1" w:themeTint="99"/>
                        </w:rPr>
                      </w:pPr>
                      <w:r>
                        <w:rPr>
                          <w:color w:val="8EAADB" w:themeColor="accent1" w:themeTint="99"/>
                        </w:rPr>
                        <w:t>6</w:t>
                      </w:r>
                    </w:p>
                  </w:txbxContent>
                </v:textbox>
              </v:shape>
            </w:pict>
          </mc:Fallback>
        </mc:AlternateContent>
      </w:r>
    </w:p>
    <w:p w14:paraId="6026CF7D" w14:textId="1E900626" w:rsidR="00700DEB" w:rsidRPr="009C1763" w:rsidRDefault="009F044A" w:rsidP="00700DEB">
      <w:pPr>
        <w:rPr>
          <w:rFonts w:cstheme="minorHAnsi"/>
        </w:rPr>
      </w:pPr>
      <w:r>
        <w:rPr>
          <w:noProof/>
        </w:rPr>
        <mc:AlternateContent>
          <mc:Choice Requires="wps">
            <w:drawing>
              <wp:anchor distT="0" distB="0" distL="114300" distR="114300" simplePos="0" relativeHeight="251672576" behindDoc="0" locked="0" layoutInCell="1" allowOverlap="1" wp14:anchorId="79EC8A7E" wp14:editId="68294973">
                <wp:simplePos x="0" y="0"/>
                <wp:positionH relativeFrom="column">
                  <wp:posOffset>10922000</wp:posOffset>
                </wp:positionH>
                <wp:positionV relativeFrom="paragraph">
                  <wp:posOffset>6203950</wp:posOffset>
                </wp:positionV>
                <wp:extent cx="42545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chemeClr val="lt1"/>
                        </a:solidFill>
                        <a:ln w="6350">
                          <a:noFill/>
                        </a:ln>
                      </wps:spPr>
                      <wps:txbx>
                        <w:txbxContent>
                          <w:p w14:paraId="51D62CE0" w14:textId="0CF18045" w:rsidR="009F044A" w:rsidRPr="009F044A" w:rsidRDefault="009F044A" w:rsidP="009F044A">
                            <w:pPr>
                              <w:rPr>
                                <w:color w:val="8EAADB" w:themeColor="accent1" w:themeTint="99"/>
                              </w:rPr>
                            </w:pPr>
                            <w:r>
                              <w:rPr>
                                <w:color w:val="8EAADB" w:themeColor="accent1" w:themeTint="99"/>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C8A7E" id="Text Box 8" o:spid="_x0000_s1027" type="#_x0000_t202" style="position:absolute;margin-left:860pt;margin-top:488.5pt;width:33.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" fillcolor="white [3201]" stroked="f" strokeweight=".5pt">
                <v:textbox>
                  <w:txbxContent>
                    <w:p w14:paraId="51D62CE0" w14:textId="0CF18045" w:rsidR="009F044A" w:rsidRPr="009F044A" w:rsidRDefault="009F044A" w:rsidP="009F044A">
                      <w:pPr>
                        <w:rPr>
                          <w:color w:val="8EAADB" w:themeColor="accent1" w:themeTint="99"/>
                        </w:rPr>
                      </w:pPr>
                      <w:r>
                        <w:rPr>
                          <w:color w:val="8EAADB" w:themeColor="accent1" w:themeTint="99"/>
                        </w:rPr>
                        <w:t>7</w:t>
                      </w:r>
                    </w:p>
                  </w:txbxContent>
                </v:textbox>
              </v:shape>
            </w:pict>
          </mc:Fallback>
        </mc:AlternateContent>
      </w:r>
    </w:p>
    <w:tbl>
      <w:tblPr>
        <w:tblpPr w:leftFromText="180" w:rightFromText="180" w:vertAnchor="text" w:horzAnchor="margin" w:tblpXSpec="center" w:tblpY="-155"/>
        <w:tblW w:w="16754" w:type="dxa"/>
        <w:tblLook w:val="04A0" w:firstRow="1" w:lastRow="0" w:firstColumn="1" w:lastColumn="0" w:noHBand="0" w:noVBand="1"/>
      </w:tblPr>
      <w:tblGrid>
        <w:gridCol w:w="498"/>
        <w:gridCol w:w="1692"/>
        <w:gridCol w:w="3607"/>
        <w:gridCol w:w="10957"/>
      </w:tblGrid>
      <w:tr w:rsidR="000A5A47" w:rsidRPr="009C1763" w14:paraId="6018FCF0" w14:textId="77777777" w:rsidTr="000A5A47">
        <w:trPr>
          <w:trHeight w:val="300"/>
        </w:trPr>
        <w:tc>
          <w:tcPr>
            <w:tcW w:w="495"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4BF2CADF" w14:textId="77777777" w:rsidR="000A5A47" w:rsidRPr="00B10C7F" w:rsidRDefault="000A5A47" w:rsidP="000A5A47">
            <w:pPr>
              <w:jc w:val="cente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3C5DAC65" w14:textId="77777777" w:rsidR="000A5A47" w:rsidRPr="00B10C7F" w:rsidRDefault="000A5A47" w:rsidP="000A5A4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Process</w:t>
            </w:r>
          </w:p>
        </w:tc>
        <w:tc>
          <w:tcPr>
            <w:tcW w:w="3607"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70AB814B" w14:textId="77777777" w:rsidR="000A5A47" w:rsidRPr="00B10C7F" w:rsidRDefault="000A5A47" w:rsidP="000A5A4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Risk Event</w:t>
            </w:r>
          </w:p>
        </w:tc>
        <w:tc>
          <w:tcPr>
            <w:tcW w:w="10957"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7E8C1BF2" w14:textId="77777777" w:rsidR="000A5A47" w:rsidRPr="00B10C7F" w:rsidRDefault="000A5A47" w:rsidP="000A5A4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Test Step</w:t>
            </w:r>
          </w:p>
        </w:tc>
      </w:tr>
      <w:tr w:rsidR="000A5A47" w:rsidRPr="009C1763" w14:paraId="2B642AD8" w14:textId="77777777" w:rsidTr="000A5A47">
        <w:trPr>
          <w:trHeight w:val="315"/>
        </w:trPr>
        <w:tc>
          <w:tcPr>
            <w:tcW w:w="495"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39AC5DED" w14:textId="77777777" w:rsidR="000A5A47" w:rsidRPr="009C1763" w:rsidRDefault="000A5A47" w:rsidP="000A5A47">
            <w:pPr>
              <w:rPr>
                <w:rFonts w:eastAsia="Times New Roman" w:cstheme="minorHAnsi"/>
                <w:b/>
                <w:bCs/>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249C25AA" w14:textId="77777777" w:rsidR="000A5A47" w:rsidRPr="009C1763" w:rsidRDefault="000A5A47" w:rsidP="000A5A47">
            <w:pPr>
              <w:rPr>
                <w:rFonts w:eastAsia="Times New Roman" w:cstheme="minorHAnsi"/>
                <w:b/>
                <w:bCs/>
                <w:sz w:val="20"/>
                <w:szCs w:val="20"/>
              </w:rPr>
            </w:pPr>
          </w:p>
        </w:tc>
        <w:tc>
          <w:tcPr>
            <w:tcW w:w="3607"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155DB910" w14:textId="77777777" w:rsidR="000A5A47" w:rsidRPr="009C1763" w:rsidRDefault="000A5A47" w:rsidP="000A5A47">
            <w:pPr>
              <w:rPr>
                <w:rFonts w:eastAsia="Times New Roman" w:cstheme="minorHAnsi"/>
                <w:b/>
                <w:bCs/>
                <w:sz w:val="20"/>
                <w:szCs w:val="20"/>
              </w:rPr>
            </w:pPr>
          </w:p>
        </w:tc>
        <w:tc>
          <w:tcPr>
            <w:tcW w:w="10957"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4791472B" w14:textId="77777777" w:rsidR="000A5A47" w:rsidRPr="009C1763" w:rsidRDefault="000A5A47" w:rsidP="000A5A47">
            <w:pPr>
              <w:rPr>
                <w:rFonts w:eastAsia="Times New Roman" w:cstheme="minorHAnsi"/>
                <w:b/>
                <w:bCs/>
                <w:sz w:val="20"/>
                <w:szCs w:val="20"/>
              </w:rPr>
            </w:pPr>
          </w:p>
        </w:tc>
      </w:tr>
      <w:tr w:rsidR="000A5A47" w:rsidRPr="009C1763" w14:paraId="2173A369" w14:textId="77777777" w:rsidTr="000A5A47">
        <w:trPr>
          <w:trHeight w:val="2490"/>
        </w:trPr>
        <w:tc>
          <w:tcPr>
            <w:tcW w:w="495" w:type="dxa"/>
            <w:tcBorders>
              <w:top w:val="nil"/>
              <w:left w:val="single" w:sz="4" w:space="0" w:color="auto"/>
              <w:bottom w:val="single" w:sz="4" w:space="0" w:color="auto"/>
              <w:right w:val="single" w:sz="4" w:space="0" w:color="auto"/>
            </w:tcBorders>
            <w:shd w:val="clear" w:color="auto" w:fill="auto"/>
            <w:hideMark/>
          </w:tcPr>
          <w:p w14:paraId="3CCC5B5D" w14:textId="77777777" w:rsidR="000A5A47" w:rsidRPr="004A1A8D" w:rsidRDefault="000A5A47" w:rsidP="000A5A47">
            <w:pPr>
              <w:jc w:val="center"/>
              <w:rPr>
                <w:rFonts w:eastAsia="Times New Roman" w:cstheme="minorHAnsi"/>
                <w:b/>
                <w:color w:val="2A4D77"/>
              </w:rPr>
            </w:pPr>
            <w:r w:rsidRPr="004A1A8D">
              <w:rPr>
                <w:rFonts w:eastAsia="Times New Roman" w:cstheme="minorHAnsi"/>
                <w:b/>
                <w:color w:val="2A4D77"/>
              </w:rPr>
              <w:t>3.0</w:t>
            </w:r>
          </w:p>
        </w:tc>
        <w:tc>
          <w:tcPr>
            <w:tcW w:w="0" w:type="auto"/>
            <w:tcBorders>
              <w:top w:val="nil"/>
              <w:left w:val="nil"/>
              <w:bottom w:val="single" w:sz="4" w:space="0" w:color="auto"/>
              <w:right w:val="single" w:sz="4" w:space="0" w:color="auto"/>
            </w:tcBorders>
            <w:shd w:val="clear" w:color="auto" w:fill="auto"/>
            <w:hideMark/>
          </w:tcPr>
          <w:p w14:paraId="06D9CFC9" w14:textId="77777777" w:rsidR="000A5A47" w:rsidRPr="00B10C7F" w:rsidRDefault="000A5A47" w:rsidP="000A5A47">
            <w:pPr>
              <w:spacing w:after="240"/>
              <w:rPr>
                <w:rFonts w:eastAsia="Times New Roman" w:cstheme="minorHAnsi"/>
                <w:color w:val="2A4D77"/>
              </w:rPr>
            </w:pPr>
            <w:r w:rsidRPr="00B10C7F">
              <w:rPr>
                <w:rFonts w:eastAsia="Times New Roman" w:cstheme="minorHAnsi"/>
                <w:b/>
                <w:bCs/>
                <w:color w:val="2A4D77"/>
              </w:rPr>
              <w:t>Eligible Patient -Medical Record Maintenance</w:t>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p>
        </w:tc>
        <w:tc>
          <w:tcPr>
            <w:tcW w:w="3607" w:type="dxa"/>
            <w:tcBorders>
              <w:top w:val="nil"/>
              <w:left w:val="nil"/>
              <w:bottom w:val="single" w:sz="4" w:space="0" w:color="auto"/>
              <w:right w:val="single" w:sz="4" w:space="0" w:color="auto"/>
            </w:tcBorders>
            <w:shd w:val="clear" w:color="auto" w:fill="auto"/>
            <w:hideMark/>
          </w:tcPr>
          <w:p w14:paraId="6D05130E" w14:textId="77777777" w:rsidR="000A5A47" w:rsidRPr="009C1763" w:rsidRDefault="000A5A47" w:rsidP="000A5A47">
            <w:pPr>
              <w:spacing w:after="240"/>
              <w:rPr>
                <w:rFonts w:eastAsia="Times New Roman" w:cstheme="minorHAnsi"/>
              </w:rPr>
            </w:pPr>
            <w:r w:rsidRPr="009C1763">
              <w:rPr>
                <w:rFonts w:eastAsia="Times New Roman" w:cstheme="minorHAnsi"/>
              </w:rPr>
              <w:t>No process in place to ensure patient medical records are maintained at covered entity.</w:t>
            </w:r>
            <w:r w:rsidRPr="009C1763">
              <w:rPr>
                <w:rFonts w:eastAsia="Times New Roman" w:cstheme="minorHAnsi"/>
              </w:rPr>
              <w:br/>
            </w:r>
          </w:p>
        </w:tc>
        <w:tc>
          <w:tcPr>
            <w:tcW w:w="109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F366" w14:textId="77777777" w:rsidR="000A5A47" w:rsidRPr="009C1763" w:rsidRDefault="000A5A47" w:rsidP="000A5A47">
            <w:pPr>
              <w:pStyle w:val="NoSpacing"/>
              <w:widowControl/>
              <w:numPr>
                <w:ilvl w:val="0"/>
                <w:numId w:val="29"/>
              </w:numPr>
              <w:rPr>
                <w:rFonts w:cstheme="minorHAnsi"/>
              </w:rPr>
            </w:pPr>
            <w:r w:rsidRPr="009C1763">
              <w:rPr>
                <w:rFonts w:cstheme="minorHAnsi"/>
              </w:rPr>
              <w:t>Obtain transactions file for a particular period of all medications dispensed from the health systems pharmacy locations</w:t>
            </w:r>
          </w:p>
          <w:p w14:paraId="305E7EE0" w14:textId="77777777" w:rsidR="000A5A47" w:rsidRPr="009C1763" w:rsidRDefault="000A5A47" w:rsidP="000A5A47">
            <w:pPr>
              <w:pStyle w:val="NoSpacing"/>
              <w:widowControl/>
              <w:numPr>
                <w:ilvl w:val="0"/>
                <w:numId w:val="29"/>
              </w:numPr>
              <w:rPr>
                <w:rFonts w:cstheme="minorHAnsi"/>
              </w:rPr>
            </w:pPr>
            <w:r w:rsidRPr="009C1763">
              <w:rPr>
                <w:rFonts w:cstheme="minorHAnsi"/>
              </w:rPr>
              <w:t>Gain an understanding of the information systems used in the 340B program including electronic health records, split billing software, vendor software</w:t>
            </w:r>
          </w:p>
          <w:p w14:paraId="343623BA" w14:textId="15CDBA83" w:rsidR="000A5A47" w:rsidRPr="009C1763" w:rsidRDefault="000A5A47" w:rsidP="000A5A47">
            <w:pPr>
              <w:pStyle w:val="NoSpacing"/>
              <w:widowControl/>
              <w:numPr>
                <w:ilvl w:val="0"/>
                <w:numId w:val="29"/>
              </w:numPr>
              <w:rPr>
                <w:rFonts w:cstheme="minorHAnsi"/>
              </w:rPr>
            </w:pPr>
            <w:r w:rsidRPr="009C1763">
              <w:rPr>
                <w:rFonts w:cstheme="minorHAnsi"/>
              </w:rPr>
              <w:t xml:space="preserve">Obtain the NPI listing of all providers and residents for the period under review </w:t>
            </w:r>
          </w:p>
          <w:p w14:paraId="1C0573EF" w14:textId="665A21FD" w:rsidR="000A5A47" w:rsidRPr="009C1763" w:rsidRDefault="000A5A47" w:rsidP="000A5A47">
            <w:pPr>
              <w:pStyle w:val="NoSpacing"/>
              <w:widowControl/>
              <w:numPr>
                <w:ilvl w:val="0"/>
                <w:numId w:val="29"/>
              </w:numPr>
              <w:rPr>
                <w:rFonts w:cstheme="minorHAnsi"/>
              </w:rPr>
            </w:pPr>
            <w:r w:rsidRPr="009C1763">
              <w:rPr>
                <w:rFonts w:cstheme="minorHAnsi"/>
              </w:rPr>
              <w:t xml:space="preserve">Obtain the Prescriptions Image </w:t>
            </w:r>
          </w:p>
          <w:p w14:paraId="183D57BE" w14:textId="07BD474F" w:rsidR="000A5A47" w:rsidRPr="009C1763" w:rsidRDefault="000A5A47" w:rsidP="000A5A47">
            <w:pPr>
              <w:pStyle w:val="NoSpacing"/>
              <w:ind w:left="322"/>
              <w:rPr>
                <w:rFonts w:cstheme="minorHAnsi"/>
              </w:rPr>
            </w:pPr>
            <w:r w:rsidRPr="009C1763">
              <w:rPr>
                <w:rFonts w:cstheme="minorHAnsi"/>
              </w:rPr>
              <w:t>A. Validate that the service provider is the covered entity provider and is eligible</w:t>
            </w:r>
            <w:r w:rsidRPr="009C1763">
              <w:rPr>
                <w:rFonts w:cstheme="minorHAnsi"/>
              </w:rPr>
              <w:br/>
              <w:t xml:space="preserve">B. Validate whether the prescription to dispense the 340B drugs were written for services rendered at an eligible setting (Outpatient) </w:t>
            </w:r>
            <w:r w:rsidRPr="009C1763">
              <w:rPr>
                <w:rFonts w:cstheme="minorHAnsi"/>
              </w:rPr>
              <w:br/>
              <w:t xml:space="preserve">C. Verify whether the patient is eligible for 340B Drugs by validating the following: </w:t>
            </w:r>
            <w:r w:rsidRPr="009C1763">
              <w:rPr>
                <w:rFonts w:eastAsia="Times New Roman" w:cstheme="minorHAnsi"/>
              </w:rPr>
              <w:br/>
              <w:t xml:space="preserve">I.     Patient is a covered entity patient (i.e. medical record exist within the covered entities EHR system) </w:t>
            </w:r>
            <w:r w:rsidRPr="009C1763">
              <w:rPr>
                <w:rFonts w:eastAsia="Times New Roman" w:cstheme="minorHAnsi"/>
              </w:rPr>
              <w:br/>
              <w:t xml:space="preserve">II.   The service that the patient receives is from an eligible provider and/or referring provider who is listed on the </w:t>
            </w:r>
            <w:r w:rsidRPr="009C1763">
              <w:rPr>
                <w:rFonts w:eastAsia="Times New Roman" w:cstheme="minorHAnsi"/>
              </w:rPr>
              <w:br/>
              <w:t>covered entities NPI list</w:t>
            </w:r>
            <w:r w:rsidRPr="009C1763">
              <w:rPr>
                <w:rFonts w:eastAsia="Times New Roman" w:cstheme="minorHAnsi"/>
              </w:rPr>
              <w:br/>
              <w:t>III.  The service location is listed on the reimbursable lines of the most recently filed Medicare Cost Report and on the         HRSA/OPA database</w:t>
            </w:r>
          </w:p>
          <w:p w14:paraId="045BC52E" w14:textId="4A7EB880" w:rsidR="000A5A47" w:rsidRPr="009C1763" w:rsidRDefault="000A5A47" w:rsidP="000A5A47">
            <w:pPr>
              <w:pStyle w:val="NoSpacing"/>
              <w:ind w:left="360"/>
              <w:rPr>
                <w:rFonts w:eastAsia="Times New Roman" w:cstheme="minorHAnsi"/>
              </w:rPr>
            </w:pPr>
            <w:r w:rsidRPr="009C1763">
              <w:rPr>
                <w:rFonts w:eastAsia="Times New Roman" w:cstheme="minorHAnsi"/>
              </w:rPr>
              <w:t>IV. The patient is an Outpatient Status at the time that the medication is dispensed and/or administered</w:t>
            </w:r>
          </w:p>
          <w:p w14:paraId="4FA82F2E" w14:textId="5793D2A3" w:rsidR="000A5A47" w:rsidRPr="009C1763" w:rsidRDefault="000A5A47" w:rsidP="000A5A47">
            <w:pPr>
              <w:pStyle w:val="NoSpacing"/>
              <w:ind w:left="360"/>
              <w:rPr>
                <w:rFonts w:cstheme="minorHAnsi"/>
              </w:rPr>
            </w:pPr>
            <w:r w:rsidRPr="009C1763">
              <w:rPr>
                <w:rFonts w:cstheme="minorHAnsi"/>
              </w:rPr>
              <w:t>D. Validate that the prescription/image profile dates reconcile with the encounter/discharge date within the covered entities EHR system</w:t>
            </w:r>
          </w:p>
          <w:p w14:paraId="0226DDC4" w14:textId="483821F6" w:rsidR="000A5A47" w:rsidRPr="009C1763" w:rsidRDefault="000A5A47" w:rsidP="000A5A47">
            <w:pPr>
              <w:pStyle w:val="NoSpacing"/>
              <w:ind w:left="360"/>
              <w:rPr>
                <w:rFonts w:cstheme="minorHAnsi"/>
              </w:rPr>
            </w:pPr>
            <w:r w:rsidRPr="009C1763">
              <w:rPr>
                <w:rFonts w:cstheme="minorHAnsi"/>
              </w:rPr>
              <w:t>E. Validate that the 340B drug name from the transaction file reconciles with the 340B drug name on the prescription/image profile.</w:t>
            </w:r>
            <w:r w:rsidRPr="009C1763">
              <w:rPr>
                <w:rFonts w:cstheme="minorHAnsi"/>
              </w:rPr>
              <w:br/>
              <w:t xml:space="preserve">F. Validate that the quantity dispensed from the transaction file reconciles with the quantity on the prescription/image profile </w:t>
            </w:r>
          </w:p>
          <w:p w14:paraId="28166AD1" w14:textId="2BB8D7E7" w:rsidR="000A5A47" w:rsidRPr="00B10C7F" w:rsidRDefault="000A5A47" w:rsidP="000A5A47">
            <w:pPr>
              <w:pStyle w:val="ListParagraph"/>
              <w:numPr>
                <w:ilvl w:val="0"/>
                <w:numId w:val="42"/>
              </w:numPr>
              <w:rPr>
                <w:rFonts w:eastAsia="Times New Roman" w:cstheme="minorHAnsi"/>
              </w:rPr>
            </w:pPr>
            <w:r w:rsidRPr="00B10C7F">
              <w:rPr>
                <w:rFonts w:eastAsia="Times New Roman" w:cstheme="minorHAnsi"/>
              </w:rPr>
              <w:t>Validate that the hospital certified that they will not be obtaining covered outpatient drugs through a GPO</w:t>
            </w:r>
          </w:p>
          <w:p w14:paraId="7F0C99C2" w14:textId="139D3B42" w:rsidR="000A5A47" w:rsidRPr="009C1763" w:rsidRDefault="000A5A47" w:rsidP="000A5A47">
            <w:pPr>
              <w:pStyle w:val="NoSpacing"/>
              <w:numPr>
                <w:ilvl w:val="0"/>
                <w:numId w:val="42"/>
              </w:numPr>
              <w:rPr>
                <w:rFonts w:cstheme="minorHAnsi"/>
              </w:rPr>
            </w:pPr>
            <w:r w:rsidRPr="009C1763">
              <w:rPr>
                <w:rFonts w:eastAsia="Times New Roman" w:cstheme="minorHAnsi"/>
              </w:rPr>
              <w:t>Validate that the hospital maintains separate purchasing records for 340B, inpatient GPO and WAC</w:t>
            </w:r>
            <w:r w:rsidRPr="00B10C7F">
              <w:rPr>
                <w:rStyle w:val="FootnoteReference"/>
                <w:rFonts w:eastAsia="Times New Roman" w:cstheme="minorHAnsi"/>
                <w:color w:val="2A4D77"/>
              </w:rPr>
              <w:footnoteReference w:id="10"/>
            </w:r>
            <w:r w:rsidRPr="009C1763">
              <w:rPr>
                <w:rFonts w:eastAsia="Times New Roman" w:cstheme="minorHAnsi"/>
              </w:rPr>
              <w:t xml:space="preserve"> </w:t>
            </w:r>
          </w:p>
        </w:tc>
      </w:tr>
      <w:tr w:rsidR="000A5A47" w:rsidRPr="009C1763" w14:paraId="35E275D0" w14:textId="77777777" w:rsidTr="000A5A47">
        <w:trPr>
          <w:trHeight w:val="2490"/>
        </w:trPr>
        <w:tc>
          <w:tcPr>
            <w:tcW w:w="495" w:type="dxa"/>
            <w:tcBorders>
              <w:top w:val="nil"/>
              <w:left w:val="single" w:sz="4" w:space="0" w:color="auto"/>
              <w:bottom w:val="single" w:sz="4" w:space="0" w:color="auto"/>
              <w:right w:val="single" w:sz="4" w:space="0" w:color="auto"/>
            </w:tcBorders>
            <w:shd w:val="clear" w:color="auto" w:fill="auto"/>
            <w:hideMark/>
          </w:tcPr>
          <w:p w14:paraId="6C50B767" w14:textId="77777777" w:rsidR="000A5A47" w:rsidRPr="004A1A8D" w:rsidRDefault="000A5A47" w:rsidP="000A5A47">
            <w:pPr>
              <w:jc w:val="center"/>
              <w:rPr>
                <w:rFonts w:eastAsia="Times New Roman" w:cstheme="minorHAnsi"/>
                <w:b/>
                <w:color w:val="2A4D77"/>
              </w:rPr>
            </w:pPr>
            <w:r w:rsidRPr="004A1A8D">
              <w:rPr>
                <w:rFonts w:eastAsia="Times New Roman" w:cstheme="minorHAnsi"/>
                <w:b/>
                <w:color w:val="2A4D77"/>
              </w:rPr>
              <w:t>4.0</w:t>
            </w:r>
          </w:p>
        </w:tc>
        <w:tc>
          <w:tcPr>
            <w:tcW w:w="0" w:type="auto"/>
            <w:tcBorders>
              <w:top w:val="nil"/>
              <w:left w:val="nil"/>
              <w:bottom w:val="single" w:sz="4" w:space="0" w:color="auto"/>
              <w:right w:val="single" w:sz="4" w:space="0" w:color="auto"/>
            </w:tcBorders>
            <w:shd w:val="clear" w:color="auto" w:fill="auto"/>
            <w:hideMark/>
          </w:tcPr>
          <w:p w14:paraId="6F98D676" w14:textId="77777777" w:rsidR="000A5A47" w:rsidRPr="00B10C7F" w:rsidRDefault="000A5A47" w:rsidP="000A5A47">
            <w:pPr>
              <w:rPr>
                <w:rFonts w:eastAsia="Times New Roman" w:cstheme="minorHAnsi"/>
                <w:b/>
                <w:bCs/>
                <w:color w:val="2A4D77"/>
              </w:rPr>
            </w:pPr>
            <w:r w:rsidRPr="00B10C7F">
              <w:rPr>
                <w:rFonts w:eastAsia="Times New Roman" w:cstheme="minorHAnsi"/>
                <w:b/>
                <w:bCs/>
                <w:color w:val="2A4D77"/>
              </w:rPr>
              <w:t>Drug Diversion</w:t>
            </w:r>
          </w:p>
        </w:tc>
        <w:tc>
          <w:tcPr>
            <w:tcW w:w="3607" w:type="dxa"/>
            <w:tcBorders>
              <w:top w:val="nil"/>
              <w:left w:val="nil"/>
              <w:bottom w:val="single" w:sz="4" w:space="0" w:color="auto"/>
              <w:right w:val="single" w:sz="4" w:space="0" w:color="auto"/>
            </w:tcBorders>
            <w:shd w:val="clear" w:color="auto" w:fill="auto"/>
            <w:hideMark/>
          </w:tcPr>
          <w:p w14:paraId="55686A5F" w14:textId="77777777" w:rsidR="000A5A47" w:rsidRPr="009C1763" w:rsidRDefault="000A5A47" w:rsidP="000A5A47">
            <w:pPr>
              <w:rPr>
                <w:rFonts w:eastAsia="Times New Roman" w:cstheme="minorHAnsi"/>
              </w:rPr>
            </w:pPr>
            <w:r w:rsidRPr="009C1763">
              <w:rPr>
                <w:rFonts w:eastAsia="Times New Roman" w:cstheme="minorHAnsi"/>
              </w:rPr>
              <w:t>340B drugs dispensed for prescriptions written at ineligible sites and/or ineligible NPI/providers. In addition, medication purchased/replenished through 340B drug discount program is dispensed/administered to patients that do not meet the 340B eligibility criteria or 340B drug is dispensed/administered at an ineligible setting (i.e. inpatient/outpatient).</w:t>
            </w:r>
          </w:p>
        </w:tc>
        <w:tc>
          <w:tcPr>
            <w:tcW w:w="10957" w:type="dxa"/>
            <w:vMerge/>
            <w:tcBorders>
              <w:top w:val="single" w:sz="4" w:space="0" w:color="auto"/>
              <w:left w:val="single" w:sz="4" w:space="0" w:color="auto"/>
              <w:bottom w:val="single" w:sz="4" w:space="0" w:color="auto"/>
              <w:right w:val="single" w:sz="4" w:space="0" w:color="auto"/>
            </w:tcBorders>
            <w:vAlign w:val="center"/>
            <w:hideMark/>
          </w:tcPr>
          <w:p w14:paraId="21C5A1F2" w14:textId="77777777" w:rsidR="000A5A47" w:rsidRPr="009C1763" w:rsidRDefault="000A5A47" w:rsidP="000A5A47">
            <w:pPr>
              <w:rPr>
                <w:rFonts w:eastAsia="Times New Roman" w:cstheme="minorHAnsi"/>
              </w:rPr>
            </w:pPr>
          </w:p>
        </w:tc>
      </w:tr>
    </w:tbl>
    <w:p w14:paraId="4BCE8F8B" w14:textId="03656643" w:rsidR="00700DEB" w:rsidRPr="009C1763" w:rsidRDefault="00D57C5D" w:rsidP="00700DEB">
      <w:pPr>
        <w:rPr>
          <w:rFonts w:cstheme="minorHAnsi"/>
        </w:rPr>
      </w:pPr>
      <w:r>
        <w:rPr>
          <w:noProof/>
        </w:rPr>
        <mc:AlternateContent>
          <mc:Choice Requires="wps">
            <w:drawing>
              <wp:anchor distT="0" distB="0" distL="114300" distR="114300" simplePos="0" relativeHeight="251676672" behindDoc="0" locked="0" layoutInCell="1" allowOverlap="1" wp14:anchorId="6A05EE39" wp14:editId="6019CC8D">
                <wp:simplePos x="0" y="0"/>
                <wp:positionH relativeFrom="rightMargin">
                  <wp:posOffset>-106680</wp:posOffset>
                </wp:positionH>
                <wp:positionV relativeFrom="paragraph">
                  <wp:posOffset>6208395</wp:posOffset>
                </wp:positionV>
                <wp:extent cx="42545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ysClr val="window" lastClr="FFFFFF"/>
                        </a:solidFill>
                        <a:ln w="6350">
                          <a:noFill/>
                        </a:ln>
                      </wps:spPr>
                      <wps:txbx>
                        <w:txbxContent>
                          <w:p w14:paraId="37D070B6" w14:textId="45C3BE66" w:rsidR="00D57C5D" w:rsidRPr="009F044A" w:rsidRDefault="00A506BC" w:rsidP="00D57C5D">
                            <w:pPr>
                              <w:rPr>
                                <w:color w:val="8EAADB" w:themeColor="accent1" w:themeTint="99"/>
                              </w:rPr>
                            </w:pPr>
                            <w:r>
                              <w:rPr>
                                <w:color w:val="8EAADB" w:themeColor="accent1" w:themeTint="99"/>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EE39" id="Text Box 10" o:spid="_x0000_s1028" type="#_x0000_t202" style="position:absolute;margin-left:-8.4pt;margin-top:488.85pt;width:33.5pt;height:21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" fillcolor="window" stroked="f" strokeweight=".5pt">
                <v:textbox>
                  <w:txbxContent>
                    <w:p w14:paraId="37D070B6" w14:textId="45C3BE66" w:rsidR="00D57C5D" w:rsidRPr="009F044A" w:rsidRDefault="00A506BC" w:rsidP="00D57C5D">
                      <w:pPr>
                        <w:rPr>
                          <w:color w:val="8EAADB" w:themeColor="accent1" w:themeTint="99"/>
                        </w:rPr>
                      </w:pPr>
                      <w:r>
                        <w:rPr>
                          <w:color w:val="8EAADB" w:themeColor="accent1" w:themeTint="99"/>
                        </w:rPr>
                        <w:t>8</w:t>
                      </w:r>
                    </w:p>
                  </w:txbxContent>
                </v:textbox>
                <w10:wrap anchorx="margin"/>
              </v:shape>
            </w:pict>
          </mc:Fallback>
        </mc:AlternateContent>
      </w:r>
    </w:p>
    <w:tbl>
      <w:tblPr>
        <w:tblpPr w:leftFromText="180" w:rightFromText="180" w:vertAnchor="text" w:horzAnchor="margin" w:tblpY="129"/>
        <w:tblW w:w="16754" w:type="dxa"/>
        <w:tblLook w:val="04A0" w:firstRow="1" w:lastRow="0" w:firstColumn="1" w:lastColumn="0" w:noHBand="0" w:noVBand="1"/>
      </w:tblPr>
      <w:tblGrid>
        <w:gridCol w:w="498"/>
        <w:gridCol w:w="1238"/>
        <w:gridCol w:w="4944"/>
        <w:gridCol w:w="10074"/>
      </w:tblGrid>
      <w:tr w:rsidR="000A5A47" w:rsidRPr="009C1763" w14:paraId="37FFE8F2" w14:textId="77777777" w:rsidTr="009F044A">
        <w:trPr>
          <w:trHeight w:val="300"/>
        </w:trPr>
        <w:tc>
          <w:tcPr>
            <w:tcW w:w="498"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4E659F50" w14:textId="77777777" w:rsidR="000A5A47" w:rsidRPr="00B10C7F" w:rsidRDefault="000A5A47" w:rsidP="00BF5207">
            <w:pPr>
              <w:jc w:val="cente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2B9D9568" w14:textId="77777777" w:rsidR="000A5A47" w:rsidRPr="00B10C7F" w:rsidRDefault="000A5A47" w:rsidP="00BF520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Process</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57798C59" w14:textId="77777777" w:rsidR="000A5A47" w:rsidRPr="00B10C7F" w:rsidRDefault="000A5A47" w:rsidP="00BF520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Risk Event</w:t>
            </w:r>
          </w:p>
        </w:tc>
        <w:tc>
          <w:tcPr>
            <w:tcW w:w="10074"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6D0A1CCD" w14:textId="77777777" w:rsidR="000A5A47" w:rsidRPr="00B10C7F" w:rsidRDefault="000A5A47" w:rsidP="00BF5207">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Test Step</w:t>
            </w:r>
          </w:p>
        </w:tc>
      </w:tr>
      <w:tr w:rsidR="000A5A47" w:rsidRPr="009C1763" w14:paraId="77196E9C" w14:textId="77777777" w:rsidTr="009F044A">
        <w:trPr>
          <w:trHeight w:val="315"/>
        </w:trPr>
        <w:tc>
          <w:tcPr>
            <w:tcW w:w="498"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6F986B25" w14:textId="77777777" w:rsidR="000A5A47" w:rsidRPr="009C1763" w:rsidRDefault="000A5A47" w:rsidP="00BF5207">
            <w:pPr>
              <w:rPr>
                <w:rFonts w:eastAsia="Times New Roman" w:cstheme="minorHAnsi"/>
                <w:b/>
                <w:bCs/>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45536579" w14:textId="77777777" w:rsidR="000A5A47" w:rsidRPr="009C1763" w:rsidRDefault="000A5A47" w:rsidP="00BF5207">
            <w:pPr>
              <w:rPr>
                <w:rFonts w:eastAsia="Times New Roman" w:cstheme="minorHAnsi"/>
                <w:b/>
                <w:bCs/>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2B68B6B0" w14:textId="77777777" w:rsidR="000A5A47" w:rsidRPr="009C1763" w:rsidRDefault="000A5A47" w:rsidP="00BF5207">
            <w:pPr>
              <w:rPr>
                <w:rFonts w:eastAsia="Times New Roman" w:cstheme="minorHAnsi"/>
                <w:b/>
                <w:bCs/>
                <w:sz w:val="20"/>
                <w:szCs w:val="20"/>
              </w:rPr>
            </w:pPr>
          </w:p>
        </w:tc>
        <w:tc>
          <w:tcPr>
            <w:tcW w:w="10074"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6B354EB5" w14:textId="77777777" w:rsidR="000A5A47" w:rsidRPr="009C1763" w:rsidRDefault="000A5A47" w:rsidP="00BF5207">
            <w:pPr>
              <w:rPr>
                <w:rFonts w:eastAsia="Times New Roman" w:cstheme="minorHAnsi"/>
                <w:b/>
                <w:bCs/>
                <w:sz w:val="20"/>
                <w:szCs w:val="20"/>
              </w:rPr>
            </w:pPr>
          </w:p>
        </w:tc>
      </w:tr>
      <w:tr w:rsidR="000A5A47" w:rsidRPr="009C1763" w14:paraId="6DCD09A4" w14:textId="77777777" w:rsidTr="009F044A">
        <w:trPr>
          <w:trHeight w:val="2490"/>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5B5566D" w14:textId="77777777" w:rsidR="000A5A47" w:rsidRPr="004A1A8D" w:rsidRDefault="000A5A47" w:rsidP="00BF5207">
            <w:pPr>
              <w:jc w:val="center"/>
              <w:rPr>
                <w:rFonts w:eastAsia="Times New Roman" w:cstheme="minorHAnsi"/>
                <w:b/>
                <w:color w:val="2A4D77"/>
              </w:rPr>
            </w:pPr>
            <w:r w:rsidRPr="004A1A8D">
              <w:rPr>
                <w:rFonts w:eastAsia="Times New Roman" w:cstheme="minorHAnsi"/>
                <w:b/>
                <w:color w:val="2A4D77"/>
              </w:rPr>
              <w:t>5.0</w:t>
            </w:r>
          </w:p>
        </w:tc>
        <w:tc>
          <w:tcPr>
            <w:tcW w:w="0" w:type="auto"/>
            <w:tcBorders>
              <w:top w:val="single" w:sz="4" w:space="0" w:color="auto"/>
              <w:left w:val="nil"/>
              <w:bottom w:val="single" w:sz="4" w:space="0" w:color="auto"/>
              <w:right w:val="single" w:sz="4" w:space="0" w:color="auto"/>
            </w:tcBorders>
            <w:shd w:val="clear" w:color="auto" w:fill="auto"/>
            <w:hideMark/>
          </w:tcPr>
          <w:p w14:paraId="38C161E6" w14:textId="77777777" w:rsidR="000A5A47" w:rsidRPr="00B10C7F" w:rsidRDefault="000A5A47" w:rsidP="00BF5207">
            <w:pPr>
              <w:rPr>
                <w:rFonts w:eastAsia="Times New Roman" w:cstheme="minorHAnsi"/>
                <w:b/>
                <w:bCs/>
                <w:color w:val="2A4D77"/>
              </w:rPr>
            </w:pPr>
            <w:r w:rsidRPr="00B10C7F">
              <w:rPr>
                <w:rFonts w:eastAsia="Times New Roman" w:cstheme="minorHAnsi"/>
                <w:b/>
                <w:bCs/>
                <w:color w:val="2A4D77"/>
              </w:rPr>
              <w:t>Duplicate Discount</w:t>
            </w:r>
          </w:p>
        </w:tc>
        <w:tc>
          <w:tcPr>
            <w:tcW w:w="0" w:type="auto"/>
            <w:tcBorders>
              <w:top w:val="single" w:sz="4" w:space="0" w:color="auto"/>
              <w:left w:val="nil"/>
              <w:bottom w:val="single" w:sz="4" w:space="0" w:color="auto"/>
              <w:right w:val="single" w:sz="4" w:space="0" w:color="auto"/>
            </w:tcBorders>
            <w:shd w:val="clear" w:color="auto" w:fill="auto"/>
            <w:hideMark/>
          </w:tcPr>
          <w:p w14:paraId="6DD58746" w14:textId="77777777" w:rsidR="000A5A47" w:rsidRPr="009C1763" w:rsidRDefault="000A5A47" w:rsidP="00BF5207">
            <w:pPr>
              <w:rPr>
                <w:rFonts w:eastAsia="Times New Roman" w:cstheme="minorHAnsi"/>
              </w:rPr>
            </w:pPr>
            <w:r w:rsidRPr="009C1763">
              <w:rPr>
                <w:rFonts w:eastAsia="Times New Roman" w:cstheme="minorHAnsi"/>
              </w:rPr>
              <w:t>No process in places to prevent duplicate discounts.</w:t>
            </w:r>
            <w:r w:rsidRPr="009C1763">
              <w:rPr>
                <w:rFonts w:eastAsia="Times New Roman" w:cstheme="minorHAnsi"/>
                <w:b/>
                <w:bCs/>
              </w:rPr>
              <w:t xml:space="preserve"> </w:t>
            </w:r>
          </w:p>
        </w:tc>
        <w:tc>
          <w:tcPr>
            <w:tcW w:w="10074" w:type="dxa"/>
            <w:tcBorders>
              <w:top w:val="single" w:sz="4" w:space="0" w:color="auto"/>
              <w:left w:val="nil"/>
              <w:bottom w:val="single" w:sz="4" w:space="0" w:color="auto"/>
              <w:right w:val="single" w:sz="4" w:space="0" w:color="auto"/>
            </w:tcBorders>
            <w:shd w:val="clear" w:color="000000" w:fill="FFFFFF"/>
            <w:hideMark/>
          </w:tcPr>
          <w:p w14:paraId="33B376A6" w14:textId="77777777" w:rsidR="000A5A47" w:rsidRPr="009C1763" w:rsidRDefault="000A5A47" w:rsidP="00BF5207">
            <w:pPr>
              <w:pStyle w:val="ListParagraph"/>
              <w:widowControl/>
              <w:numPr>
                <w:ilvl w:val="0"/>
                <w:numId w:val="28"/>
              </w:numPr>
              <w:contextualSpacing/>
              <w:rPr>
                <w:rFonts w:eastAsia="Times New Roman" w:cstheme="minorHAnsi"/>
              </w:rPr>
            </w:pPr>
            <w:r w:rsidRPr="009C1763">
              <w:rPr>
                <w:rFonts w:eastAsia="Times New Roman" w:cstheme="minorHAnsi"/>
              </w:rPr>
              <w:t>Obtain a listing of all NPI's/ Medicaid ID's Master List</w:t>
            </w:r>
          </w:p>
          <w:p w14:paraId="06DB9FA4" w14:textId="77777777" w:rsidR="000A5A47" w:rsidRPr="009C1763" w:rsidRDefault="000A5A47" w:rsidP="00BF5207">
            <w:pPr>
              <w:pStyle w:val="ListParagraph"/>
              <w:widowControl/>
              <w:numPr>
                <w:ilvl w:val="0"/>
                <w:numId w:val="28"/>
              </w:numPr>
              <w:contextualSpacing/>
              <w:rPr>
                <w:rFonts w:eastAsia="Times New Roman" w:cstheme="minorHAnsi"/>
              </w:rPr>
            </w:pPr>
            <w:r w:rsidRPr="009C1763">
              <w:rPr>
                <w:rFonts w:eastAsia="Times New Roman" w:cstheme="minorHAnsi"/>
              </w:rPr>
              <w:t>Obtain the Medicaid Exclusion File ("MEF")</w:t>
            </w:r>
          </w:p>
          <w:p w14:paraId="3288082F" w14:textId="77777777" w:rsidR="000A5A47" w:rsidRPr="009C1763" w:rsidRDefault="000A5A47" w:rsidP="00BF5207">
            <w:pPr>
              <w:pStyle w:val="ListParagraph"/>
              <w:widowControl/>
              <w:numPr>
                <w:ilvl w:val="0"/>
                <w:numId w:val="28"/>
              </w:numPr>
              <w:contextualSpacing/>
              <w:rPr>
                <w:rFonts w:eastAsia="Times New Roman" w:cstheme="minorHAnsi"/>
              </w:rPr>
            </w:pPr>
            <w:r w:rsidRPr="009C1763">
              <w:rPr>
                <w:rFonts w:eastAsia="Times New Roman" w:cstheme="minorHAnsi"/>
              </w:rPr>
              <w:t>Obtain a listing of the 340B Covered Entities list</w:t>
            </w:r>
          </w:p>
          <w:p w14:paraId="27AEAFFE" w14:textId="77777777" w:rsidR="000A5A47" w:rsidRPr="009C1763" w:rsidRDefault="000A5A47" w:rsidP="00BF5207">
            <w:pPr>
              <w:pStyle w:val="ListParagraph"/>
              <w:widowControl/>
              <w:numPr>
                <w:ilvl w:val="0"/>
                <w:numId w:val="28"/>
              </w:numPr>
              <w:contextualSpacing/>
              <w:rPr>
                <w:rFonts w:eastAsia="Times New Roman" w:cstheme="minorHAnsi"/>
              </w:rPr>
            </w:pPr>
            <w:r w:rsidRPr="009C1763">
              <w:rPr>
                <w:rFonts w:eastAsia="Times New Roman" w:cstheme="minorHAnsi"/>
              </w:rPr>
              <w:t xml:space="preserve"> Identify the 340B Covered Entities and associated Medicaid IDs/NPI numbers from the NPI's/Medicaid ID's Master List</w:t>
            </w:r>
          </w:p>
          <w:p w14:paraId="73A27099" w14:textId="77777777" w:rsidR="000A5A47" w:rsidRPr="009C1763" w:rsidRDefault="000A5A47" w:rsidP="00BF5207">
            <w:pPr>
              <w:pStyle w:val="ListParagraph"/>
              <w:widowControl/>
              <w:numPr>
                <w:ilvl w:val="0"/>
                <w:numId w:val="28"/>
              </w:numPr>
              <w:contextualSpacing/>
              <w:rPr>
                <w:rFonts w:eastAsia="Times New Roman" w:cstheme="minorHAnsi"/>
              </w:rPr>
            </w:pPr>
            <w:r w:rsidRPr="009C1763">
              <w:rPr>
                <w:rFonts w:eastAsia="Times New Roman" w:cstheme="minorHAnsi"/>
              </w:rPr>
              <w:t xml:space="preserve">Reconcile the 340B Covered Entities Listing with the Medicaid Exclusion File and perform the following: </w:t>
            </w:r>
          </w:p>
          <w:p w14:paraId="39C688CE" w14:textId="77777777" w:rsidR="000A5A47" w:rsidRPr="009C1763" w:rsidRDefault="000A5A47" w:rsidP="00BF5207">
            <w:pPr>
              <w:pStyle w:val="ListParagraph"/>
              <w:numPr>
                <w:ilvl w:val="0"/>
                <w:numId w:val="40"/>
              </w:numPr>
              <w:rPr>
                <w:rFonts w:eastAsia="Times New Roman" w:cstheme="minorHAnsi"/>
              </w:rPr>
            </w:pPr>
            <w:r w:rsidRPr="009C1763">
              <w:rPr>
                <w:rFonts w:eastAsia="Times New Roman" w:cstheme="minorHAnsi"/>
              </w:rPr>
              <w:t>Validate that the Medicaid IDs  listed on the Covered Entities Listing are listed on the Medicaid Exclusion File</w:t>
            </w:r>
          </w:p>
          <w:p w14:paraId="107B1DFB" w14:textId="77777777" w:rsidR="000A5A47" w:rsidRPr="009C1763" w:rsidRDefault="000A5A47" w:rsidP="00BF5207">
            <w:pPr>
              <w:pStyle w:val="ListParagraph"/>
              <w:numPr>
                <w:ilvl w:val="0"/>
                <w:numId w:val="40"/>
              </w:numPr>
              <w:rPr>
                <w:rFonts w:eastAsia="Times New Roman" w:cstheme="minorHAnsi"/>
              </w:rPr>
            </w:pPr>
            <w:r w:rsidRPr="009C1763">
              <w:rPr>
                <w:rFonts w:eastAsia="Times New Roman" w:cstheme="minorHAnsi"/>
              </w:rPr>
              <w:t xml:space="preserve">Validate that the NPI numbers listed on the Covered Entities Listing are listed on the Medicaid Exclusion File </w:t>
            </w:r>
          </w:p>
          <w:p w14:paraId="5E39E32C" w14:textId="77777777" w:rsidR="000A5A47" w:rsidRPr="009C1763" w:rsidRDefault="000A5A47" w:rsidP="00BF5207">
            <w:pPr>
              <w:pStyle w:val="ListParagraph"/>
              <w:numPr>
                <w:ilvl w:val="0"/>
                <w:numId w:val="40"/>
              </w:numPr>
              <w:rPr>
                <w:rFonts w:eastAsia="Times New Roman" w:cstheme="minorHAnsi"/>
              </w:rPr>
            </w:pPr>
            <w:r w:rsidRPr="009C1763">
              <w:rPr>
                <w:rFonts w:eastAsia="Times New Roman" w:cstheme="minorHAnsi"/>
              </w:rPr>
              <w:t>Validate that the drug exclusion lists periodically reviewed and updated</w:t>
            </w:r>
          </w:p>
        </w:tc>
      </w:tr>
      <w:tr w:rsidR="000A5A47" w:rsidRPr="009C1763" w14:paraId="722092D3" w14:textId="77777777" w:rsidTr="009F044A">
        <w:trPr>
          <w:trHeight w:val="4995"/>
        </w:trPr>
        <w:tc>
          <w:tcPr>
            <w:tcW w:w="498" w:type="dxa"/>
            <w:tcBorders>
              <w:top w:val="nil"/>
              <w:left w:val="single" w:sz="4" w:space="0" w:color="auto"/>
              <w:bottom w:val="single" w:sz="4" w:space="0" w:color="auto"/>
              <w:right w:val="single" w:sz="4" w:space="0" w:color="auto"/>
            </w:tcBorders>
            <w:shd w:val="clear" w:color="auto" w:fill="auto"/>
            <w:hideMark/>
          </w:tcPr>
          <w:p w14:paraId="6DF7BFAD" w14:textId="77777777" w:rsidR="000A5A47" w:rsidRPr="004A1A8D" w:rsidRDefault="000A5A47" w:rsidP="00BF5207">
            <w:pPr>
              <w:jc w:val="center"/>
              <w:rPr>
                <w:rFonts w:eastAsia="Times New Roman" w:cstheme="minorHAnsi"/>
                <w:b/>
                <w:color w:val="2A4D77"/>
              </w:rPr>
            </w:pPr>
            <w:r w:rsidRPr="004A1A8D">
              <w:rPr>
                <w:rFonts w:eastAsia="Times New Roman" w:cstheme="minorHAnsi"/>
                <w:b/>
                <w:color w:val="2A4D77"/>
              </w:rPr>
              <w:t>6.0</w:t>
            </w:r>
          </w:p>
        </w:tc>
        <w:tc>
          <w:tcPr>
            <w:tcW w:w="0" w:type="auto"/>
            <w:tcBorders>
              <w:top w:val="nil"/>
              <w:left w:val="nil"/>
              <w:bottom w:val="single" w:sz="4" w:space="0" w:color="auto"/>
              <w:right w:val="single" w:sz="4" w:space="0" w:color="auto"/>
            </w:tcBorders>
            <w:shd w:val="clear" w:color="auto" w:fill="auto"/>
            <w:hideMark/>
          </w:tcPr>
          <w:p w14:paraId="54814DA7" w14:textId="77777777" w:rsidR="000A5A47" w:rsidRPr="00B10C7F" w:rsidRDefault="000A5A47" w:rsidP="00BF5207">
            <w:pPr>
              <w:spacing w:after="240"/>
              <w:rPr>
                <w:rFonts w:eastAsia="Times New Roman" w:cstheme="minorHAnsi"/>
                <w:color w:val="2A4D77"/>
              </w:rPr>
            </w:pPr>
            <w:r w:rsidRPr="00B10C7F">
              <w:rPr>
                <w:rFonts w:eastAsia="Times New Roman" w:cstheme="minorHAnsi"/>
                <w:b/>
                <w:bCs/>
                <w:color w:val="2A4D77"/>
              </w:rPr>
              <w:t>Contract Pharmacy</w:t>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r w:rsidRPr="00B10C7F">
              <w:rPr>
                <w:rFonts w:eastAsia="Times New Roman" w:cstheme="minorHAnsi"/>
                <w:color w:val="2A4D77"/>
              </w:rPr>
              <w:br/>
            </w:r>
          </w:p>
        </w:tc>
        <w:tc>
          <w:tcPr>
            <w:tcW w:w="0" w:type="auto"/>
            <w:tcBorders>
              <w:top w:val="nil"/>
              <w:left w:val="nil"/>
              <w:bottom w:val="single" w:sz="4" w:space="0" w:color="auto"/>
              <w:right w:val="single" w:sz="4" w:space="0" w:color="auto"/>
            </w:tcBorders>
            <w:shd w:val="clear" w:color="auto" w:fill="auto"/>
            <w:hideMark/>
          </w:tcPr>
          <w:p w14:paraId="7F8CD89B" w14:textId="77777777" w:rsidR="000A5A47" w:rsidRPr="009C1763" w:rsidRDefault="000A5A47" w:rsidP="00BF5207">
            <w:pPr>
              <w:rPr>
                <w:rFonts w:eastAsia="Times New Roman" w:cstheme="minorHAnsi"/>
              </w:rPr>
            </w:pPr>
            <w:r w:rsidRPr="009C1763">
              <w:rPr>
                <w:rFonts w:eastAsia="Times New Roman" w:cstheme="minorHAnsi"/>
              </w:rPr>
              <w:t>Lack of executed contract/agreement to dispense 340B drugs to covered entity patients and inappropriate dispensation of 340B drugs as stipulated in agreed-upon contract terms. In addition,  incorrect patient information transmitted to contract pharmacy</w:t>
            </w:r>
          </w:p>
        </w:tc>
        <w:tc>
          <w:tcPr>
            <w:tcW w:w="10074" w:type="dxa"/>
            <w:tcBorders>
              <w:top w:val="nil"/>
              <w:left w:val="nil"/>
              <w:bottom w:val="single" w:sz="4" w:space="0" w:color="auto"/>
              <w:right w:val="single" w:sz="4" w:space="0" w:color="auto"/>
            </w:tcBorders>
            <w:shd w:val="clear" w:color="000000" w:fill="FFFFFF"/>
            <w:hideMark/>
          </w:tcPr>
          <w:p w14:paraId="595EA373" w14:textId="77777777" w:rsidR="000A5A47" w:rsidRPr="009C1763" w:rsidRDefault="000A5A47" w:rsidP="00BF5207">
            <w:pPr>
              <w:pStyle w:val="NoSpacing"/>
              <w:widowControl/>
              <w:numPr>
                <w:ilvl w:val="0"/>
                <w:numId w:val="27"/>
              </w:numPr>
              <w:rPr>
                <w:rFonts w:cstheme="minorHAnsi"/>
              </w:rPr>
            </w:pPr>
            <w:r w:rsidRPr="009C1763">
              <w:rPr>
                <w:rFonts w:cstheme="minorHAnsi"/>
              </w:rPr>
              <w:t>Obtain the 340B Contract Pharmacy Services Agreement and validate that a contract exists and has been fully executed and appropriately approved</w:t>
            </w:r>
          </w:p>
          <w:p w14:paraId="1EB15769" w14:textId="77777777" w:rsidR="000A5A47" w:rsidRPr="009C1763" w:rsidRDefault="000A5A47" w:rsidP="00BF5207">
            <w:pPr>
              <w:pStyle w:val="NoSpacing"/>
              <w:widowControl/>
              <w:numPr>
                <w:ilvl w:val="0"/>
                <w:numId w:val="27"/>
              </w:numPr>
              <w:rPr>
                <w:rFonts w:cstheme="minorHAnsi"/>
              </w:rPr>
            </w:pPr>
            <w:r w:rsidRPr="009C1763">
              <w:rPr>
                <w:rFonts w:cstheme="minorHAnsi"/>
              </w:rPr>
              <w:t xml:space="preserve">From our Pharmacy department obtain a listing of all 340B drugs dispensed at the various contracted pharmacy locations (i.e. transaction report) for a particular time period. </w:t>
            </w:r>
          </w:p>
          <w:p w14:paraId="14730873" w14:textId="77777777" w:rsidR="000A5A47" w:rsidRPr="009C1763" w:rsidRDefault="000A5A47" w:rsidP="00BF5207">
            <w:pPr>
              <w:pStyle w:val="NoSpacing"/>
              <w:widowControl/>
              <w:numPr>
                <w:ilvl w:val="0"/>
                <w:numId w:val="27"/>
              </w:numPr>
              <w:rPr>
                <w:rFonts w:cstheme="minorHAnsi"/>
              </w:rPr>
            </w:pPr>
            <w:r w:rsidRPr="009C1763">
              <w:rPr>
                <w:rFonts w:cstheme="minorHAnsi"/>
              </w:rPr>
              <w:t xml:space="preserve">Obtain the NPI listing of all providers and residents </w:t>
            </w:r>
          </w:p>
          <w:p w14:paraId="1C17EB30" w14:textId="77777777" w:rsidR="000A5A47" w:rsidRPr="009C1763" w:rsidRDefault="000A5A47" w:rsidP="00BF5207">
            <w:pPr>
              <w:pStyle w:val="NoSpacing"/>
              <w:widowControl/>
              <w:numPr>
                <w:ilvl w:val="0"/>
                <w:numId w:val="27"/>
              </w:numPr>
              <w:rPr>
                <w:rFonts w:cstheme="minorHAnsi"/>
              </w:rPr>
            </w:pPr>
            <w:r w:rsidRPr="009C1763">
              <w:rPr>
                <w:rFonts w:cstheme="minorHAnsi"/>
              </w:rPr>
              <w:t>Obtain the pharmacy location file  and perform the following:</w:t>
            </w:r>
          </w:p>
          <w:p w14:paraId="5CA647E2" w14:textId="09D7288E" w:rsidR="000A5A47" w:rsidRPr="009C1763" w:rsidRDefault="000A5A47" w:rsidP="00BF5207">
            <w:pPr>
              <w:pStyle w:val="NoSpacing"/>
              <w:ind w:left="360"/>
              <w:rPr>
                <w:rFonts w:cstheme="minorHAnsi"/>
              </w:rPr>
            </w:pPr>
            <w:r w:rsidRPr="009C1763">
              <w:rPr>
                <w:rFonts w:cstheme="minorHAnsi"/>
              </w:rPr>
              <w:t>A. Validate that the contract pharmacy store location list on the transaction report reconciles to the pharmacy location list within the HRSA database</w:t>
            </w:r>
            <w:r w:rsidRPr="009C1763">
              <w:rPr>
                <w:rFonts w:cstheme="minorHAnsi"/>
              </w:rPr>
              <w:br/>
              <w:t>B. Validate that the ordering physician is on the NPI list and eligible</w:t>
            </w:r>
            <w:r w:rsidRPr="009C1763">
              <w:rPr>
                <w:rFonts w:cstheme="minorHAnsi"/>
              </w:rPr>
              <w:br/>
              <w:t>C. Validate that the ordering physician within the transaction report reconciles with the ordering physician in the covered entities EHR system.</w:t>
            </w:r>
            <w:r w:rsidRPr="009C1763">
              <w:rPr>
                <w:rFonts w:cstheme="minorHAnsi"/>
              </w:rPr>
              <w:br/>
              <w:t>D. Validate that the order/prescription dates from the transaction report reconciles with the patient encounter/discharge date within the covered entities EHR system.</w:t>
            </w:r>
            <w:r w:rsidRPr="009C1763">
              <w:rPr>
                <w:rFonts w:cstheme="minorHAnsi"/>
              </w:rPr>
              <w:br/>
              <w:t>E. Validate that the financial class/insurance plan of the patient is a Non-Medicaid Fee for Service</w:t>
            </w:r>
            <w:r w:rsidRPr="009C1763">
              <w:rPr>
                <w:rFonts w:cstheme="minorHAnsi"/>
              </w:rPr>
              <w:br/>
              <w:t>F. Validate that the 340B drugs names from the transaction report reconcile with the 340B drugs names in the medication list in the EHR system for that patient encounter</w:t>
            </w:r>
            <w:r w:rsidRPr="009C1763">
              <w:rPr>
                <w:rFonts w:cstheme="minorHAnsi"/>
              </w:rPr>
              <w:br/>
              <w:t>G. Validate that the quantity dispensed from the transaction report reconciles with the quantity ordered within EHR system for that patient encounter.</w:t>
            </w:r>
          </w:p>
        </w:tc>
      </w:tr>
    </w:tbl>
    <w:p w14:paraId="66AD8DCE" w14:textId="4D5BC5B1" w:rsidR="00700DEB" w:rsidRPr="009C1763" w:rsidRDefault="00700DEB" w:rsidP="00700DEB">
      <w:pPr>
        <w:rPr>
          <w:rFonts w:cstheme="minorHAnsi"/>
        </w:rPr>
      </w:pPr>
    </w:p>
    <w:p w14:paraId="2B25FA12" w14:textId="17D518AF" w:rsidR="00700DEB" w:rsidRDefault="00700DEB" w:rsidP="00700DEB">
      <w:pPr>
        <w:rPr>
          <w:rFonts w:cstheme="minorHAnsi"/>
        </w:rPr>
      </w:pPr>
    </w:p>
    <w:p w14:paraId="6AF73D08" w14:textId="77777777" w:rsidR="009C1763" w:rsidRPr="009C1763" w:rsidRDefault="009C1763" w:rsidP="00700DEB">
      <w:pPr>
        <w:rPr>
          <w:rFonts w:cstheme="minorHAnsi"/>
        </w:rPr>
      </w:pPr>
    </w:p>
    <w:p w14:paraId="29ED5A76" w14:textId="53EE05DE" w:rsidR="00114424" w:rsidRDefault="00114424" w:rsidP="00700DEB">
      <w:pPr>
        <w:rPr>
          <w:rFonts w:eastAsia="Calibri" w:cstheme="minorHAnsi"/>
          <w:b/>
          <w:i/>
          <w:sz w:val="24"/>
        </w:rPr>
      </w:pPr>
    </w:p>
    <w:p w14:paraId="11B432C4" w14:textId="77777777" w:rsidR="009C1763" w:rsidRDefault="009C1763" w:rsidP="00700DEB">
      <w:pPr>
        <w:rPr>
          <w:rFonts w:eastAsia="Calibri" w:cstheme="minorHAnsi"/>
          <w:b/>
          <w:i/>
          <w:sz w:val="24"/>
        </w:rPr>
      </w:pPr>
    </w:p>
    <w:p w14:paraId="490C5122" w14:textId="77777777" w:rsidR="009C1763" w:rsidRDefault="009C1763" w:rsidP="00700DEB">
      <w:pPr>
        <w:rPr>
          <w:rFonts w:eastAsia="Calibri" w:cstheme="minorHAnsi"/>
          <w:b/>
          <w:i/>
          <w:sz w:val="24"/>
        </w:rPr>
      </w:pPr>
    </w:p>
    <w:p w14:paraId="78916D93" w14:textId="77777777" w:rsidR="009C1763" w:rsidRDefault="009C1763" w:rsidP="00700DEB">
      <w:pPr>
        <w:rPr>
          <w:rFonts w:eastAsia="Calibri" w:cstheme="minorHAnsi"/>
          <w:b/>
          <w:i/>
          <w:sz w:val="24"/>
        </w:rPr>
      </w:pPr>
    </w:p>
    <w:p w14:paraId="7E2593A3" w14:textId="77777777" w:rsidR="009C1763" w:rsidRPr="009C1763" w:rsidRDefault="009C1763" w:rsidP="00700DEB">
      <w:pPr>
        <w:rPr>
          <w:rFonts w:eastAsia="Calibri" w:cstheme="minorHAnsi"/>
          <w:b/>
          <w:i/>
          <w:sz w:val="24"/>
        </w:rPr>
      </w:pPr>
    </w:p>
    <w:tbl>
      <w:tblPr>
        <w:tblW w:w="16754" w:type="dxa"/>
        <w:tblInd w:w="341" w:type="dxa"/>
        <w:tblLook w:val="04A0" w:firstRow="1" w:lastRow="0" w:firstColumn="1" w:lastColumn="0" w:noHBand="0" w:noVBand="1"/>
      </w:tblPr>
      <w:tblGrid>
        <w:gridCol w:w="498"/>
        <w:gridCol w:w="2208"/>
        <w:gridCol w:w="3974"/>
        <w:gridCol w:w="10074"/>
      </w:tblGrid>
      <w:tr w:rsidR="007B288B" w:rsidRPr="009C1763" w14:paraId="736598DE" w14:textId="77777777" w:rsidTr="000A5A47">
        <w:trPr>
          <w:trHeight w:val="300"/>
        </w:trPr>
        <w:tc>
          <w:tcPr>
            <w:tcW w:w="247"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029DE282" w14:textId="77777777" w:rsidR="00063406" w:rsidRPr="00B10C7F" w:rsidRDefault="00063406" w:rsidP="00794228">
            <w:pPr>
              <w:jc w:val="cente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7E07464D" w14:textId="77777777" w:rsidR="00063406" w:rsidRPr="00B10C7F" w:rsidRDefault="00063406" w:rsidP="00794228">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Process</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7820F733" w14:textId="77777777" w:rsidR="00063406" w:rsidRPr="00B10C7F" w:rsidRDefault="00063406" w:rsidP="00794228">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Risk Event</w:t>
            </w:r>
          </w:p>
        </w:tc>
        <w:tc>
          <w:tcPr>
            <w:tcW w:w="10074" w:type="dxa"/>
            <w:vMerge w:val="restart"/>
            <w:tcBorders>
              <w:top w:val="single" w:sz="4" w:space="0" w:color="auto"/>
              <w:left w:val="single" w:sz="4" w:space="0" w:color="auto"/>
              <w:bottom w:val="single" w:sz="8" w:space="0" w:color="000000"/>
              <w:right w:val="single" w:sz="4" w:space="0" w:color="auto"/>
            </w:tcBorders>
            <w:shd w:val="clear" w:color="auto" w:fill="2A4D77"/>
            <w:vAlign w:val="center"/>
            <w:hideMark/>
          </w:tcPr>
          <w:p w14:paraId="23B860C8" w14:textId="77777777" w:rsidR="00063406" w:rsidRPr="00B10C7F" w:rsidRDefault="00063406" w:rsidP="00794228">
            <w:pPr>
              <w:rPr>
                <w:rFonts w:eastAsia="Times New Roman" w:cstheme="minorHAnsi"/>
                <w:b/>
                <w:bCs/>
                <w:color w:val="FFFFFF" w:themeColor="background1"/>
                <w:sz w:val="20"/>
                <w:szCs w:val="20"/>
              </w:rPr>
            </w:pPr>
            <w:r w:rsidRPr="00B10C7F">
              <w:rPr>
                <w:rFonts w:eastAsia="Times New Roman" w:cstheme="minorHAnsi"/>
                <w:b/>
                <w:bCs/>
                <w:color w:val="FFFFFF" w:themeColor="background1"/>
                <w:sz w:val="20"/>
                <w:szCs w:val="20"/>
              </w:rPr>
              <w:t>Test Step</w:t>
            </w:r>
          </w:p>
        </w:tc>
      </w:tr>
      <w:tr w:rsidR="007B288B" w:rsidRPr="009C1763" w14:paraId="3A4C1694" w14:textId="77777777" w:rsidTr="000A5A47">
        <w:trPr>
          <w:trHeight w:val="315"/>
        </w:trPr>
        <w:tc>
          <w:tcPr>
            <w:tcW w:w="247"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1BA6700A" w14:textId="77777777" w:rsidR="00063406" w:rsidRPr="009C1763" w:rsidRDefault="00063406" w:rsidP="00794228">
            <w:pPr>
              <w:rPr>
                <w:rFonts w:eastAsia="Times New Roman" w:cstheme="minorHAnsi"/>
                <w:b/>
                <w:bCs/>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5B24FEFB" w14:textId="77777777" w:rsidR="00063406" w:rsidRPr="009C1763" w:rsidRDefault="00063406" w:rsidP="00794228">
            <w:pPr>
              <w:rPr>
                <w:rFonts w:eastAsia="Times New Roman" w:cstheme="minorHAnsi"/>
                <w:b/>
                <w:bCs/>
                <w:sz w:val="20"/>
                <w:szCs w:val="20"/>
              </w:rPr>
            </w:pPr>
          </w:p>
        </w:tc>
        <w:tc>
          <w:tcPr>
            <w:tcW w:w="0" w:type="auto"/>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3556CABC" w14:textId="77777777" w:rsidR="00063406" w:rsidRPr="009C1763" w:rsidRDefault="00063406" w:rsidP="00794228">
            <w:pPr>
              <w:rPr>
                <w:rFonts w:eastAsia="Times New Roman" w:cstheme="minorHAnsi"/>
                <w:b/>
                <w:bCs/>
                <w:sz w:val="20"/>
                <w:szCs w:val="20"/>
              </w:rPr>
            </w:pPr>
          </w:p>
        </w:tc>
        <w:tc>
          <w:tcPr>
            <w:tcW w:w="10074" w:type="dxa"/>
            <w:vMerge/>
            <w:tcBorders>
              <w:top w:val="single" w:sz="4" w:space="0" w:color="auto"/>
              <w:left w:val="single" w:sz="4" w:space="0" w:color="auto"/>
              <w:bottom w:val="single" w:sz="8" w:space="0" w:color="000000"/>
              <w:right w:val="single" w:sz="4" w:space="0" w:color="auto"/>
            </w:tcBorders>
            <w:shd w:val="clear" w:color="auto" w:fill="2A4D77"/>
            <w:vAlign w:val="center"/>
            <w:hideMark/>
          </w:tcPr>
          <w:p w14:paraId="5DAC692F" w14:textId="77777777" w:rsidR="00063406" w:rsidRPr="009C1763" w:rsidRDefault="00063406" w:rsidP="00794228">
            <w:pPr>
              <w:rPr>
                <w:rFonts w:eastAsia="Times New Roman" w:cstheme="minorHAnsi"/>
                <w:b/>
                <w:bCs/>
                <w:sz w:val="20"/>
                <w:szCs w:val="20"/>
              </w:rPr>
            </w:pPr>
          </w:p>
        </w:tc>
      </w:tr>
      <w:tr w:rsidR="007B288B" w:rsidRPr="009C1763" w14:paraId="59715E35" w14:textId="77777777" w:rsidTr="000A5A47">
        <w:trPr>
          <w:trHeight w:val="2490"/>
        </w:trPr>
        <w:tc>
          <w:tcPr>
            <w:tcW w:w="247" w:type="dxa"/>
            <w:tcBorders>
              <w:top w:val="single" w:sz="4" w:space="0" w:color="auto"/>
              <w:left w:val="single" w:sz="4" w:space="0" w:color="auto"/>
              <w:bottom w:val="single" w:sz="4" w:space="0" w:color="auto"/>
              <w:right w:val="single" w:sz="4" w:space="0" w:color="auto"/>
            </w:tcBorders>
            <w:shd w:val="clear" w:color="auto" w:fill="auto"/>
            <w:hideMark/>
          </w:tcPr>
          <w:p w14:paraId="140AF1D4" w14:textId="77777777" w:rsidR="00063406" w:rsidRPr="004A1A8D" w:rsidRDefault="00063406" w:rsidP="00794228">
            <w:pPr>
              <w:jc w:val="center"/>
              <w:rPr>
                <w:rFonts w:eastAsia="Times New Roman" w:cstheme="minorHAnsi"/>
                <w:b/>
                <w:color w:val="2A4D77"/>
              </w:rPr>
            </w:pPr>
            <w:r w:rsidRPr="004A1A8D">
              <w:rPr>
                <w:rFonts w:eastAsia="Times New Roman" w:cstheme="minorHAnsi"/>
                <w:b/>
                <w:color w:val="2A4D77"/>
              </w:rPr>
              <w:t>7.0</w:t>
            </w:r>
          </w:p>
        </w:tc>
        <w:tc>
          <w:tcPr>
            <w:tcW w:w="0" w:type="auto"/>
            <w:tcBorders>
              <w:top w:val="single" w:sz="4" w:space="0" w:color="auto"/>
              <w:left w:val="nil"/>
              <w:bottom w:val="single" w:sz="4" w:space="0" w:color="auto"/>
              <w:right w:val="single" w:sz="4" w:space="0" w:color="auto"/>
            </w:tcBorders>
            <w:shd w:val="clear" w:color="auto" w:fill="auto"/>
            <w:hideMark/>
          </w:tcPr>
          <w:p w14:paraId="02EBFF20" w14:textId="77777777" w:rsidR="00063406" w:rsidRPr="00B10C7F" w:rsidRDefault="00063406" w:rsidP="00CB55A7">
            <w:pPr>
              <w:rPr>
                <w:rFonts w:eastAsia="Times New Roman" w:cstheme="minorHAnsi"/>
                <w:b/>
                <w:bCs/>
                <w:color w:val="2A4D77"/>
              </w:rPr>
            </w:pPr>
            <w:r w:rsidRPr="00B10C7F">
              <w:rPr>
                <w:rFonts w:eastAsia="Times New Roman" w:cstheme="minorHAnsi"/>
                <w:b/>
                <w:bCs/>
                <w:color w:val="2A4D77"/>
              </w:rPr>
              <w:t>Monitoring</w:t>
            </w:r>
            <w:r w:rsidR="00CB55A7" w:rsidRPr="00B10C7F">
              <w:rPr>
                <w:rFonts w:eastAsia="Times New Roman" w:cstheme="minorHAnsi"/>
                <w:b/>
                <w:bCs/>
                <w:color w:val="2A4D77"/>
              </w:rPr>
              <w:t xml:space="preserve"> C</w:t>
            </w:r>
            <w:r w:rsidRPr="00B10C7F">
              <w:rPr>
                <w:rFonts w:eastAsia="Times New Roman" w:cstheme="minorHAnsi"/>
                <w:b/>
                <w:bCs/>
                <w:color w:val="2A4D77"/>
              </w:rPr>
              <w:t xml:space="preserve">ompliance </w:t>
            </w:r>
            <w:r w:rsidR="00CB55A7" w:rsidRPr="00B10C7F">
              <w:rPr>
                <w:rFonts w:eastAsia="Times New Roman" w:cstheme="minorHAnsi"/>
                <w:b/>
                <w:bCs/>
                <w:color w:val="2A4D77"/>
              </w:rPr>
              <w:t>W</w:t>
            </w:r>
            <w:r w:rsidRPr="00B10C7F">
              <w:rPr>
                <w:rFonts w:eastAsia="Times New Roman" w:cstheme="minorHAnsi"/>
                <w:b/>
                <w:bCs/>
                <w:color w:val="2A4D77"/>
              </w:rPr>
              <w:t xml:space="preserve">ith </w:t>
            </w:r>
            <w:r w:rsidR="00CB55A7" w:rsidRPr="00B10C7F">
              <w:rPr>
                <w:rFonts w:eastAsia="Times New Roman" w:cstheme="minorHAnsi"/>
                <w:b/>
                <w:bCs/>
                <w:color w:val="2A4D77"/>
              </w:rPr>
              <w:t>T</w:t>
            </w:r>
            <w:r w:rsidRPr="00B10C7F">
              <w:rPr>
                <w:rFonts w:eastAsia="Times New Roman" w:cstheme="minorHAnsi"/>
                <w:b/>
                <w:bCs/>
                <w:color w:val="2A4D77"/>
              </w:rPr>
              <w:t xml:space="preserve">he </w:t>
            </w:r>
            <w:r w:rsidR="00CB55A7" w:rsidRPr="00B10C7F">
              <w:rPr>
                <w:rFonts w:eastAsia="Times New Roman" w:cstheme="minorHAnsi"/>
                <w:b/>
                <w:bCs/>
                <w:color w:val="2A4D77"/>
              </w:rPr>
              <w:t>P</w:t>
            </w:r>
            <w:r w:rsidRPr="00B10C7F">
              <w:rPr>
                <w:rFonts w:eastAsia="Times New Roman" w:cstheme="minorHAnsi"/>
                <w:b/>
                <w:bCs/>
                <w:color w:val="2A4D77"/>
              </w:rPr>
              <w:t>rogram</w:t>
            </w:r>
          </w:p>
        </w:tc>
        <w:tc>
          <w:tcPr>
            <w:tcW w:w="0" w:type="auto"/>
            <w:tcBorders>
              <w:top w:val="single" w:sz="4" w:space="0" w:color="auto"/>
              <w:left w:val="nil"/>
              <w:bottom w:val="single" w:sz="4" w:space="0" w:color="auto"/>
              <w:right w:val="single" w:sz="4" w:space="0" w:color="auto"/>
            </w:tcBorders>
            <w:shd w:val="clear" w:color="auto" w:fill="auto"/>
            <w:hideMark/>
          </w:tcPr>
          <w:p w14:paraId="32A72F70" w14:textId="77777777" w:rsidR="00063406" w:rsidRPr="009C1763" w:rsidRDefault="00063406" w:rsidP="00794228">
            <w:pPr>
              <w:rPr>
                <w:rFonts w:eastAsia="Times New Roman" w:cstheme="minorHAnsi"/>
              </w:rPr>
            </w:pPr>
            <w:r w:rsidRPr="009C1763">
              <w:rPr>
                <w:rFonts w:eastAsia="Times New Roman" w:cstheme="minorHAnsi"/>
              </w:rPr>
              <w:t xml:space="preserve">Lack </w:t>
            </w:r>
            <w:r w:rsidR="007B288B" w:rsidRPr="009C1763">
              <w:rPr>
                <w:rFonts w:eastAsia="Times New Roman" w:cstheme="minorHAnsi"/>
              </w:rPr>
              <w:t>of</w:t>
            </w:r>
            <w:r w:rsidRPr="009C1763">
              <w:rPr>
                <w:rFonts w:eastAsia="Times New Roman" w:cstheme="minorHAnsi"/>
              </w:rPr>
              <w:t xml:space="preserve"> </w:t>
            </w:r>
            <w:r w:rsidR="007B288B" w:rsidRPr="009C1763">
              <w:rPr>
                <w:rFonts w:eastAsia="Times New Roman" w:cstheme="minorHAnsi"/>
              </w:rPr>
              <w:t>oversight of the 340B program and ongoing</w:t>
            </w:r>
            <w:r w:rsidRPr="009C1763">
              <w:rPr>
                <w:rFonts w:eastAsia="Times New Roman" w:cstheme="minorHAnsi"/>
              </w:rPr>
              <w:t xml:space="preserve"> self-audits performed by the pharmacy department </w:t>
            </w:r>
            <w:r w:rsidRPr="009C1763">
              <w:rPr>
                <w:rFonts w:eastAsia="Times New Roman" w:cstheme="minorHAnsi"/>
                <w:b/>
                <w:bCs/>
              </w:rPr>
              <w:t xml:space="preserve"> </w:t>
            </w:r>
          </w:p>
        </w:tc>
        <w:tc>
          <w:tcPr>
            <w:tcW w:w="10074" w:type="dxa"/>
            <w:tcBorders>
              <w:top w:val="single" w:sz="4" w:space="0" w:color="auto"/>
              <w:left w:val="nil"/>
              <w:bottom w:val="single" w:sz="4" w:space="0" w:color="auto"/>
              <w:right w:val="single" w:sz="4" w:space="0" w:color="auto"/>
            </w:tcBorders>
            <w:shd w:val="clear" w:color="000000" w:fill="FFFFFF"/>
            <w:hideMark/>
          </w:tcPr>
          <w:p w14:paraId="52D3BA19" w14:textId="77777777" w:rsidR="00232548" w:rsidRPr="009C1763" w:rsidRDefault="00232548" w:rsidP="00063406">
            <w:pPr>
              <w:pStyle w:val="ListParagraph"/>
              <w:numPr>
                <w:ilvl w:val="0"/>
                <w:numId w:val="36"/>
              </w:numPr>
              <w:rPr>
                <w:rFonts w:eastAsia="Times New Roman" w:cstheme="minorHAnsi"/>
              </w:rPr>
            </w:pPr>
            <w:r w:rsidRPr="009C1763">
              <w:rPr>
                <w:rFonts w:eastAsia="Times New Roman" w:cstheme="minorHAnsi"/>
              </w:rPr>
              <w:t>Determine whether a 340B oversight committee exist to monitor compliance with the program</w:t>
            </w:r>
          </w:p>
          <w:p w14:paraId="1F973CD5" w14:textId="77777777" w:rsidR="00232548" w:rsidRPr="009C1763" w:rsidRDefault="00232548" w:rsidP="00232548">
            <w:pPr>
              <w:pStyle w:val="ListParagraph"/>
              <w:numPr>
                <w:ilvl w:val="0"/>
                <w:numId w:val="39"/>
              </w:numPr>
              <w:rPr>
                <w:rFonts w:eastAsia="Times New Roman" w:cstheme="minorHAnsi"/>
              </w:rPr>
            </w:pPr>
            <w:r w:rsidRPr="009C1763">
              <w:rPr>
                <w:rFonts w:eastAsia="Times New Roman" w:cstheme="minorHAnsi"/>
              </w:rPr>
              <w:t>Validate that meeting minutes are maintained</w:t>
            </w:r>
          </w:p>
          <w:p w14:paraId="08057280" w14:textId="77777777" w:rsidR="00063406" w:rsidRPr="009C1763" w:rsidRDefault="00063406" w:rsidP="00063406">
            <w:pPr>
              <w:pStyle w:val="ListParagraph"/>
              <w:numPr>
                <w:ilvl w:val="0"/>
                <w:numId w:val="36"/>
              </w:numPr>
              <w:rPr>
                <w:rFonts w:eastAsia="Times New Roman" w:cstheme="minorHAnsi"/>
              </w:rPr>
            </w:pPr>
            <w:r w:rsidRPr="009C1763">
              <w:rPr>
                <w:rFonts w:eastAsia="Times New Roman" w:cstheme="minorHAnsi"/>
              </w:rPr>
              <w:t>Obtain copies of self-audits performed  by the Pharmacy department, for retail/specialty pharmacy, mixed use areas and contract pharmacy</w:t>
            </w:r>
          </w:p>
          <w:p w14:paraId="5406580A" w14:textId="77777777" w:rsidR="00063406" w:rsidRPr="009C1763" w:rsidRDefault="00063406" w:rsidP="00063406">
            <w:pPr>
              <w:pStyle w:val="ListParagraph"/>
              <w:numPr>
                <w:ilvl w:val="0"/>
                <w:numId w:val="37"/>
              </w:numPr>
              <w:rPr>
                <w:rFonts w:eastAsia="Times New Roman" w:cstheme="minorHAnsi"/>
              </w:rPr>
            </w:pPr>
            <w:r w:rsidRPr="009C1763">
              <w:rPr>
                <w:rFonts w:eastAsia="Times New Roman" w:cstheme="minorHAnsi"/>
              </w:rPr>
              <w:t>Validate that the self-audits address the criteria’s need for compliance for the 340B program</w:t>
            </w:r>
          </w:p>
          <w:p w14:paraId="126C52AC" w14:textId="77777777" w:rsidR="00063406" w:rsidRPr="009C1763" w:rsidRDefault="00063406" w:rsidP="00063406">
            <w:pPr>
              <w:pStyle w:val="ListParagraph"/>
              <w:numPr>
                <w:ilvl w:val="0"/>
                <w:numId w:val="37"/>
              </w:numPr>
              <w:rPr>
                <w:rFonts w:eastAsia="Times New Roman" w:cstheme="minorHAnsi"/>
              </w:rPr>
            </w:pPr>
            <w:r w:rsidRPr="009C1763">
              <w:rPr>
                <w:rFonts w:eastAsia="Times New Roman" w:cstheme="minorHAnsi"/>
              </w:rPr>
              <w:t>Validate that the self- audit deficiencies identified have been addressed</w:t>
            </w:r>
          </w:p>
          <w:p w14:paraId="60AC5E8F" w14:textId="77777777" w:rsidR="00917EFD" w:rsidRPr="009C1763" w:rsidRDefault="00917EFD" w:rsidP="00917EFD">
            <w:pPr>
              <w:pStyle w:val="ListParagraph"/>
              <w:numPr>
                <w:ilvl w:val="0"/>
                <w:numId w:val="37"/>
              </w:numPr>
              <w:rPr>
                <w:rFonts w:eastAsia="Times New Roman" w:cstheme="minorHAnsi"/>
              </w:rPr>
            </w:pPr>
            <w:r w:rsidRPr="009C1763">
              <w:rPr>
                <w:rFonts w:eastAsia="Times New Roman" w:cstheme="minorHAnsi"/>
              </w:rPr>
              <w:t>Validate that educational processes  are in place to ensure pharmacy leadership and staff are versed in 340B guidelines and regulation</w:t>
            </w:r>
          </w:p>
          <w:p w14:paraId="4FB47821" w14:textId="77777777" w:rsidR="00917EFD" w:rsidRPr="009C1763" w:rsidRDefault="00917EFD" w:rsidP="00917EFD">
            <w:pPr>
              <w:pStyle w:val="ListParagraph"/>
              <w:numPr>
                <w:ilvl w:val="0"/>
                <w:numId w:val="37"/>
              </w:numPr>
              <w:rPr>
                <w:rFonts w:eastAsia="Times New Roman" w:cstheme="minorHAnsi"/>
              </w:rPr>
            </w:pPr>
            <w:r w:rsidRPr="009C1763">
              <w:rPr>
                <w:rFonts w:eastAsia="Times New Roman" w:cstheme="minorHAnsi"/>
              </w:rPr>
              <w:t>Validate that 340B Summary Reports, including savings and Impact are generated and reviewed periodically</w:t>
            </w:r>
          </w:p>
        </w:tc>
      </w:tr>
    </w:tbl>
    <w:p w14:paraId="6D37F762" w14:textId="77777777" w:rsidR="00063406" w:rsidRPr="009C1763" w:rsidRDefault="00063406" w:rsidP="00700DEB">
      <w:pPr>
        <w:rPr>
          <w:rFonts w:eastAsia="Calibri" w:cstheme="minorHAnsi"/>
          <w:b/>
          <w:i/>
          <w:sz w:val="24"/>
        </w:rPr>
      </w:pPr>
    </w:p>
    <w:p w14:paraId="171A6C88" w14:textId="77777777" w:rsidR="00063406" w:rsidRDefault="00063406" w:rsidP="00700DEB">
      <w:pPr>
        <w:rPr>
          <w:rFonts w:eastAsia="Calibri" w:cstheme="minorHAnsi"/>
          <w:b/>
          <w:i/>
          <w:sz w:val="24"/>
        </w:rPr>
      </w:pPr>
    </w:p>
    <w:p w14:paraId="6BC24FAE" w14:textId="37DBC172" w:rsidR="00700D17" w:rsidRDefault="00700D17" w:rsidP="00700DEB">
      <w:pPr>
        <w:rPr>
          <w:rFonts w:eastAsia="Calibri" w:cstheme="minorHAnsi"/>
          <w:b/>
          <w:i/>
          <w:sz w:val="24"/>
        </w:rPr>
      </w:pPr>
    </w:p>
    <w:p w14:paraId="1877C1D8" w14:textId="5FED644D" w:rsidR="00700D17" w:rsidRDefault="00700D17" w:rsidP="00700DEB">
      <w:pPr>
        <w:rPr>
          <w:rFonts w:eastAsia="Calibri" w:cstheme="minorHAnsi"/>
          <w:b/>
          <w:i/>
          <w:sz w:val="24"/>
        </w:rPr>
      </w:pPr>
    </w:p>
    <w:p w14:paraId="45544A38" w14:textId="77777777" w:rsidR="00700D17" w:rsidRDefault="00700D17" w:rsidP="00700DEB">
      <w:pPr>
        <w:rPr>
          <w:rFonts w:eastAsia="Calibri" w:cstheme="minorHAnsi"/>
          <w:b/>
          <w:i/>
          <w:sz w:val="24"/>
        </w:rPr>
      </w:pPr>
    </w:p>
    <w:p w14:paraId="4DB01C83" w14:textId="2BC2DC7F" w:rsidR="00700D17" w:rsidRDefault="00700D17" w:rsidP="00700DEB">
      <w:pPr>
        <w:rPr>
          <w:rFonts w:eastAsia="Calibri" w:cstheme="minorHAnsi"/>
          <w:b/>
          <w:i/>
          <w:sz w:val="24"/>
        </w:rPr>
      </w:pPr>
    </w:p>
    <w:p w14:paraId="7842A314" w14:textId="77777777" w:rsidR="00700D17" w:rsidRDefault="00700D17" w:rsidP="00700DEB">
      <w:pPr>
        <w:rPr>
          <w:rFonts w:eastAsia="Calibri" w:cstheme="minorHAnsi"/>
          <w:b/>
          <w:i/>
          <w:sz w:val="24"/>
        </w:rPr>
      </w:pPr>
    </w:p>
    <w:p w14:paraId="2F774023" w14:textId="50AA374B" w:rsidR="00700D17" w:rsidRDefault="00700D17" w:rsidP="00700DEB">
      <w:pPr>
        <w:rPr>
          <w:rFonts w:eastAsia="Calibri" w:cstheme="minorHAnsi"/>
          <w:b/>
          <w:i/>
          <w:sz w:val="24"/>
        </w:rPr>
      </w:pPr>
    </w:p>
    <w:p w14:paraId="0CE43A96" w14:textId="45233AD3" w:rsidR="00700D17" w:rsidRDefault="00700D17" w:rsidP="00700DEB">
      <w:pPr>
        <w:rPr>
          <w:rFonts w:eastAsia="Calibri" w:cstheme="minorHAnsi"/>
          <w:b/>
          <w:i/>
          <w:sz w:val="24"/>
        </w:rPr>
      </w:pPr>
    </w:p>
    <w:p w14:paraId="2AA844FD" w14:textId="464FEF36" w:rsidR="00700D17" w:rsidRDefault="00700D17" w:rsidP="00700DEB">
      <w:pPr>
        <w:rPr>
          <w:rFonts w:eastAsia="Calibri" w:cstheme="minorHAnsi"/>
          <w:b/>
          <w:i/>
          <w:sz w:val="24"/>
        </w:rPr>
      </w:pPr>
    </w:p>
    <w:p w14:paraId="146B761B" w14:textId="312DCA78" w:rsidR="00700D17" w:rsidRDefault="009F044A" w:rsidP="00700DEB">
      <w:pPr>
        <w:rPr>
          <w:rFonts w:eastAsia="Calibri" w:cstheme="minorHAnsi"/>
          <w:b/>
          <w:i/>
          <w:sz w:val="24"/>
        </w:rPr>
      </w:pPr>
      <w:r>
        <w:rPr>
          <w:noProof/>
        </w:rPr>
        <mc:AlternateContent>
          <mc:Choice Requires="wps">
            <w:drawing>
              <wp:anchor distT="0" distB="0" distL="114300" distR="114300" simplePos="0" relativeHeight="251668480" behindDoc="0" locked="0" layoutInCell="1" allowOverlap="1" wp14:anchorId="695E50C2" wp14:editId="749BCADD">
                <wp:simplePos x="0" y="0"/>
                <wp:positionH relativeFrom="column">
                  <wp:posOffset>10868660</wp:posOffset>
                </wp:positionH>
                <wp:positionV relativeFrom="paragraph">
                  <wp:posOffset>931545</wp:posOffset>
                </wp:positionV>
                <wp:extent cx="4254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chemeClr val="lt1"/>
                        </a:solidFill>
                        <a:ln w="6350">
                          <a:noFill/>
                        </a:ln>
                      </wps:spPr>
                      <wps:txbx>
                        <w:txbxContent>
                          <w:p w14:paraId="66EACFCD" w14:textId="4EDA4C29" w:rsidR="009F044A" w:rsidRPr="009F044A" w:rsidRDefault="009F044A" w:rsidP="009F044A">
                            <w:pPr>
                              <w:rPr>
                                <w:color w:val="8EAADB" w:themeColor="accent1" w:themeTint="99"/>
                              </w:rPr>
                            </w:pPr>
                            <w:bookmarkStart w:id="13" w:name="_GoBack"/>
                            <w:r>
                              <w:rPr>
                                <w:color w:val="8EAADB" w:themeColor="accent1" w:themeTint="99"/>
                              </w:rPr>
                              <w:t>9</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50C2" id="Text Box 5" o:spid="_x0000_s1029" type="#_x0000_t202" style="position:absolute;margin-left:855.8pt;margin-top:73.35pt;width:3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" fillcolor="white [3201]" stroked="f" strokeweight=".5pt">
                <v:textbox>
                  <w:txbxContent>
                    <w:p w14:paraId="66EACFCD" w14:textId="4EDA4C29" w:rsidR="009F044A" w:rsidRPr="009F044A" w:rsidRDefault="009F044A" w:rsidP="009F044A">
                      <w:pPr>
                        <w:rPr>
                          <w:color w:val="8EAADB" w:themeColor="accent1" w:themeTint="99"/>
                        </w:rPr>
                      </w:pPr>
                      <w:bookmarkStart w:id="14" w:name="_GoBack"/>
                      <w:r>
                        <w:rPr>
                          <w:color w:val="8EAADB" w:themeColor="accent1" w:themeTint="99"/>
                        </w:rPr>
                        <w:t>9</w:t>
                      </w:r>
                      <w:bookmarkEnd w:id="14"/>
                    </w:p>
                  </w:txbxContent>
                </v:textbox>
              </v:shape>
            </w:pict>
          </mc:Fallback>
        </mc:AlternateContent>
      </w:r>
    </w:p>
    <w:p w14:paraId="799E9544" w14:textId="77777777" w:rsidR="00BF5207" w:rsidRDefault="00BF5207" w:rsidP="00700DEB">
      <w:pPr>
        <w:rPr>
          <w:rFonts w:eastAsia="Calibri" w:cstheme="minorHAnsi"/>
          <w:b/>
          <w:i/>
          <w:sz w:val="24"/>
        </w:rPr>
        <w:sectPr w:rsidR="00BF5207" w:rsidSect="008563D8">
          <w:pgSz w:w="20160" w:h="12240" w:orient="landscape" w:code="5"/>
          <w:pgMar w:top="1440" w:right="1440" w:bottom="1440" w:left="1440" w:header="720" w:footer="720" w:gutter="0"/>
          <w:pgNumType w:start="0"/>
          <w:cols w:space="720"/>
          <w:docGrid w:linePitch="299"/>
        </w:sectPr>
      </w:pPr>
    </w:p>
    <w:p w14:paraId="53D13907" w14:textId="77777777" w:rsidR="00BF5207" w:rsidRPr="00BF5207" w:rsidRDefault="004A1A8D" w:rsidP="00BF5207">
      <w:pPr>
        <w:pStyle w:val="Heading1"/>
        <w:spacing w:before="61"/>
        <w:rPr>
          <w:color w:val="00539F"/>
        </w:rPr>
      </w:pPr>
      <w:r w:rsidRPr="00BF5207">
        <w:rPr>
          <w:b w:val="0"/>
          <w:noProof/>
          <w:sz w:val="20"/>
        </w:rPr>
        <mc:AlternateContent>
          <mc:Choice Requires="wps">
            <w:drawing>
              <wp:anchor distT="45720" distB="45720" distL="114300" distR="114300" simplePos="0" relativeHeight="251661312" behindDoc="0" locked="0" layoutInCell="1" allowOverlap="1" wp14:anchorId="351EB1C9" wp14:editId="75974A34">
                <wp:simplePos x="0" y="0"/>
                <wp:positionH relativeFrom="margin">
                  <wp:posOffset>419100</wp:posOffset>
                </wp:positionH>
                <wp:positionV relativeFrom="paragraph">
                  <wp:posOffset>1211580</wp:posOffset>
                </wp:positionV>
                <wp:extent cx="53035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chemeClr val="bg1">
                            <a:lumMod val="65000"/>
                          </a:schemeClr>
                        </a:solidFill>
                        <a:ln w="9525">
                          <a:noFill/>
                          <a:miter lim="800000"/>
                          <a:headEnd/>
                          <a:tailEnd/>
                        </a:ln>
                      </wps:spPr>
                      <wps:txbx>
                        <w:txbxContent>
                          <w:p w14:paraId="297A2592" w14:textId="77777777" w:rsidR="00BF5207" w:rsidRPr="00BF5207" w:rsidRDefault="00BF5207">
                            <w:pPr>
                              <w:rPr>
                                <w:b/>
                                <w:color w:val="FFFFFF" w:themeColor="background1"/>
                                <w:sz w:val="28"/>
                              </w:rPr>
                            </w:pPr>
                            <w:r w:rsidRPr="00BF5207">
                              <w:rPr>
                                <w:b/>
                                <w:color w:val="FFFFFF" w:themeColor="background1"/>
                                <w:sz w:val="28"/>
                              </w:rPr>
                              <w:t>About AHIA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EB1C9" id="Text Box 2" o:spid="_x0000_s1031" type="#_x0000_t202" style="position:absolute;margin-left:33pt;margin-top:95.4pt;width:417.6pt;height:2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" fillcolor="#a5a5a5 [2092]" stroked="f">
                <v:textbox>
                  <w:txbxContent>
                    <w:p w14:paraId="297A2592" w14:textId="77777777" w:rsidR="00BF5207" w:rsidRPr="00BF5207" w:rsidRDefault="00BF5207">
                      <w:pPr>
                        <w:rPr>
                          <w:b/>
                          <w:color w:val="FFFFFF" w:themeColor="background1"/>
                          <w:sz w:val="28"/>
                        </w:rPr>
                      </w:pPr>
                      <w:r w:rsidRPr="00BF5207">
                        <w:rPr>
                          <w:b/>
                          <w:color w:val="FFFFFF" w:themeColor="background1"/>
                          <w:sz w:val="28"/>
                        </w:rPr>
                        <w:t>About AHIA</w:t>
                      </w:r>
                    </w:p>
                  </w:txbxContent>
                </v:textbox>
                <w10:wrap type="square" anchorx="margin"/>
              </v:shape>
            </w:pict>
          </mc:Fallback>
        </mc:AlternateContent>
      </w:r>
      <w:r w:rsidRPr="007F7D7C">
        <w:rPr>
          <w:noProof/>
          <w:color w:val="FFFFFF" w:themeColor="background1"/>
        </w:rPr>
        <w:drawing>
          <wp:anchor distT="0" distB="0" distL="0" distR="0" simplePos="0" relativeHeight="251659264" behindDoc="0" locked="0" layoutInCell="1" allowOverlap="1" wp14:anchorId="48069318" wp14:editId="3F45D044">
            <wp:simplePos x="0" y="0"/>
            <wp:positionH relativeFrom="margin">
              <wp:posOffset>426720</wp:posOffset>
            </wp:positionH>
            <wp:positionV relativeFrom="paragraph">
              <wp:posOffset>0</wp:posOffset>
            </wp:positionV>
            <wp:extent cx="1963420" cy="934720"/>
            <wp:effectExtent l="0" t="0" r="0" b="0"/>
            <wp:wrapTopAndBottom/>
            <wp:docPr id="3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jpeg"/>
                    <pic:cNvPicPr/>
                  </pic:nvPicPr>
                  <pic:blipFill>
                    <a:blip r:embed="rId11" cstate="print"/>
                    <a:stretch>
                      <a:fillRect/>
                    </a:stretch>
                  </pic:blipFill>
                  <pic:spPr>
                    <a:xfrm>
                      <a:off x="0" y="0"/>
                      <a:ext cx="1963420" cy="934720"/>
                    </a:xfrm>
                    <a:prstGeom prst="rect">
                      <a:avLst/>
                    </a:prstGeom>
                  </pic:spPr>
                </pic:pic>
              </a:graphicData>
            </a:graphic>
            <wp14:sizeRelH relativeFrom="margin">
              <wp14:pctWidth>0</wp14:pctWidth>
            </wp14:sizeRelH>
            <wp14:sizeRelV relativeFrom="margin">
              <wp14:pctHeight>0</wp14:pctHeight>
            </wp14:sizeRelV>
          </wp:anchor>
        </w:drawing>
      </w:r>
    </w:p>
    <w:p w14:paraId="1C85ADF7" w14:textId="77777777" w:rsidR="00BF5207" w:rsidRDefault="00BF5207" w:rsidP="004A1A8D">
      <w:pPr>
        <w:spacing w:line="374" w:lineRule="auto"/>
        <w:ind w:left="720" w:right="347"/>
        <w:jc w:val="both"/>
      </w:pPr>
      <w:r w:rsidRPr="00BF5207">
        <w:t>The Association of Healthcare Internal Auditors (AHIA) is a network of experienced healthcare internal auditing professionals who come together to share tools, knowledge, and insight on how to assess and evaluate risk within a complex and dynamic healthcare environment. AHIA is an advocate for the profession, continuing to elevate and champion the strategic importance of healthcare internal auditors with executive management and the Board. If you have a stake in healthcare governance,</w:t>
      </w:r>
      <w:r>
        <w:t xml:space="preserve"> </w:t>
      </w:r>
      <w:r w:rsidRPr="00BF5207">
        <w:t xml:space="preserve">risk management and internal controls, AHIA is your one-stop resource. Explore our website for more information. If you   are not a member, please join our network, </w:t>
      </w:r>
      <w:hyperlink r:id="rId13">
        <w:r w:rsidRPr="00BF5207">
          <w:t>www.ahia.org.</w:t>
        </w:r>
      </w:hyperlink>
      <w:r w:rsidRPr="00BF5207">
        <w:t xml:space="preserve"> AHIA white papers provide healthcare internal audit practitioners</w:t>
      </w:r>
      <w:r>
        <w:t xml:space="preserve"> </w:t>
      </w:r>
      <w:r w:rsidRPr="00BF5207">
        <w:t xml:space="preserve">with non-mandatory professional guidance on important topics. By providing healthcare specific information and education, white papers can help practitioners evaluate risks, develop priorities, and design audit approaches. It is meant to help readers understand an issue, solve a problem, or make a decision. AHIA welcomes papers aimed at beginner to expert level practitioners. This includes original content clearly related to healthcare internal auditing that does not promote commercial products or services. </w:t>
      </w:r>
      <w:r w:rsidR="0083579A">
        <w:br/>
      </w:r>
    </w:p>
    <w:p w14:paraId="4F6FB033" w14:textId="77777777" w:rsidR="00BF5207" w:rsidRDefault="00BF5207" w:rsidP="004A1A8D">
      <w:pPr>
        <w:spacing w:line="374" w:lineRule="auto"/>
        <w:ind w:left="720" w:right="347"/>
        <w:jc w:val="both"/>
        <w:rPr>
          <w:b/>
          <w:color w:val="FF0000"/>
        </w:rPr>
      </w:pPr>
      <w:r w:rsidRPr="00BF5207">
        <w:rPr>
          <w:b/>
          <w:color w:val="FF0000"/>
        </w:rPr>
        <w:t>Interested? Contact a member of the AHIA White Paper</w:t>
      </w:r>
      <w:r w:rsidRPr="00BF5207">
        <w:rPr>
          <w:b/>
          <w:color w:val="FF0000"/>
          <w:spacing w:val="15"/>
        </w:rPr>
        <w:t xml:space="preserve"> </w:t>
      </w:r>
      <w:r w:rsidRPr="00BF5207">
        <w:rPr>
          <w:b/>
          <w:color w:val="FF0000"/>
        </w:rPr>
        <w:t>Subcommittee.</w:t>
      </w:r>
    </w:p>
    <w:p w14:paraId="0AC77BB5" w14:textId="77777777" w:rsidR="004A1A8D" w:rsidRDefault="004A1A8D" w:rsidP="004A1A8D">
      <w:pPr>
        <w:spacing w:line="374" w:lineRule="auto"/>
        <w:ind w:right="347"/>
        <w:jc w:val="both"/>
        <w:rPr>
          <w:b/>
          <w:color w:val="FF0000"/>
        </w:rPr>
      </w:pPr>
      <w:r w:rsidRPr="004A1A8D">
        <w:rPr>
          <w:b/>
          <w:noProof/>
          <w:color w:val="FF0000"/>
        </w:rPr>
        <mc:AlternateContent>
          <mc:Choice Requires="wps">
            <w:drawing>
              <wp:anchor distT="45720" distB="45720" distL="114300" distR="114300" simplePos="0" relativeHeight="251663360" behindDoc="0" locked="0" layoutInCell="1" allowOverlap="1" wp14:anchorId="7453A4A8" wp14:editId="47E0A6B5">
                <wp:simplePos x="0" y="0"/>
                <wp:positionH relativeFrom="column">
                  <wp:posOffset>434340</wp:posOffset>
                </wp:positionH>
                <wp:positionV relativeFrom="paragraph">
                  <wp:posOffset>304165</wp:posOffset>
                </wp:positionV>
                <wp:extent cx="5318760" cy="320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320040"/>
                        </a:xfrm>
                        <a:prstGeom prst="rect">
                          <a:avLst/>
                        </a:prstGeom>
                        <a:solidFill>
                          <a:schemeClr val="bg1">
                            <a:lumMod val="65000"/>
                          </a:schemeClr>
                        </a:solidFill>
                        <a:ln w="9525">
                          <a:noFill/>
                          <a:miter lim="800000"/>
                          <a:headEnd/>
                          <a:tailEnd/>
                        </a:ln>
                      </wps:spPr>
                      <wps:txbx>
                        <w:txbxContent>
                          <w:p w14:paraId="779788CC" w14:textId="77777777" w:rsidR="004A1A8D" w:rsidRPr="004A1A8D" w:rsidRDefault="004A1A8D">
                            <w:pPr>
                              <w:rPr>
                                <w:b/>
                                <w:color w:val="FFFFFF" w:themeColor="background1"/>
                                <w:sz w:val="28"/>
                              </w:rPr>
                            </w:pPr>
                            <w:r w:rsidRPr="004A1A8D">
                              <w:rPr>
                                <w:b/>
                                <w:color w:val="FFFFFF" w:themeColor="background1"/>
                                <w:sz w:val="28"/>
                              </w:rPr>
                              <w:t>Subcommittee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3A4A8" id="_x0000_s1032" type="#_x0000_t202" style="position:absolute;left:0;text-align:left;margin-left:34.2pt;margin-top:23.95pt;width:418.8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" fillcolor="#a5a5a5 [2092]" stroked="f">
                <v:textbox>
                  <w:txbxContent>
                    <w:p w14:paraId="779788CC" w14:textId="77777777" w:rsidR="004A1A8D" w:rsidRPr="004A1A8D" w:rsidRDefault="004A1A8D">
                      <w:pPr>
                        <w:rPr>
                          <w:b/>
                          <w:color w:val="FFFFFF" w:themeColor="background1"/>
                          <w:sz w:val="28"/>
                        </w:rPr>
                      </w:pPr>
                      <w:r w:rsidRPr="004A1A8D">
                        <w:rPr>
                          <w:b/>
                          <w:color w:val="FFFFFF" w:themeColor="background1"/>
                          <w:sz w:val="28"/>
                        </w:rPr>
                        <w:t>Subcommittee</w:t>
                      </w:r>
                    </w:p>
                  </w:txbxContent>
                </v:textbox>
                <w10:wrap type="square"/>
              </v:shape>
            </w:pict>
          </mc:Fallback>
        </mc:AlternateContent>
      </w:r>
      <w:r>
        <w:rPr>
          <w:b/>
          <w:color w:val="FF0000"/>
        </w:rPr>
        <w:br/>
      </w:r>
      <w:r>
        <w:rPr>
          <w:b/>
          <w:color w:val="FF0000"/>
        </w:rPr>
        <w:br/>
      </w:r>
    </w:p>
    <w:p w14:paraId="21E186CD" w14:textId="77777777" w:rsidR="004A1A8D" w:rsidRPr="004A1A8D" w:rsidRDefault="004A1A8D" w:rsidP="004A1A8D">
      <w:pPr>
        <w:ind w:left="720" w:right="346"/>
      </w:pPr>
      <w:r w:rsidRPr="004A1A8D">
        <w:rPr>
          <w:b/>
        </w:rPr>
        <w:t xml:space="preserve">Alan Henton, White Paper Chair </w:t>
      </w:r>
      <w:r w:rsidRPr="004A1A8D">
        <w:rPr>
          <w:b/>
        </w:rPr>
        <w:br/>
      </w:r>
      <w:hyperlink r:id="rId14" w:history="1">
        <w:r w:rsidRPr="00AE5A0F">
          <w:rPr>
            <w:rStyle w:val="Hyperlink"/>
          </w:rPr>
          <w:t>alan.p.henton@vumc.org</w:t>
        </w:r>
      </w:hyperlink>
      <w:r>
        <w:t xml:space="preserve"> </w:t>
      </w:r>
      <w:r w:rsidRPr="004A1A8D">
        <w:t xml:space="preserve"> </w:t>
      </w:r>
    </w:p>
    <w:p w14:paraId="63FD3B37" w14:textId="77777777" w:rsidR="004A1A8D" w:rsidRPr="004A1A8D" w:rsidRDefault="004A1A8D" w:rsidP="004A1A8D">
      <w:pPr>
        <w:ind w:left="720" w:right="346"/>
      </w:pPr>
    </w:p>
    <w:p w14:paraId="04D59788" w14:textId="77777777" w:rsidR="004A1A8D" w:rsidRPr="004A1A8D" w:rsidRDefault="004A1A8D" w:rsidP="004A1A8D">
      <w:pPr>
        <w:ind w:left="720" w:right="346"/>
        <w:rPr>
          <w:b/>
        </w:rPr>
      </w:pPr>
      <w:r w:rsidRPr="004A1A8D">
        <w:rPr>
          <w:b/>
        </w:rPr>
        <w:t xml:space="preserve">Linda Greer </w:t>
      </w:r>
    </w:p>
    <w:p w14:paraId="1122FB20" w14:textId="77777777" w:rsidR="004A1A8D" w:rsidRPr="004A1A8D" w:rsidRDefault="00A506BC" w:rsidP="004A1A8D">
      <w:pPr>
        <w:ind w:left="720" w:right="346"/>
      </w:pPr>
      <w:hyperlink r:id="rId15" w:history="1">
        <w:r w:rsidR="004A1A8D" w:rsidRPr="00AE5A0F">
          <w:rPr>
            <w:rStyle w:val="Hyperlink"/>
          </w:rPr>
          <w:t>tlbmc@cox.net</w:t>
        </w:r>
      </w:hyperlink>
      <w:r w:rsidR="004A1A8D">
        <w:t xml:space="preserve"> </w:t>
      </w:r>
      <w:r w:rsidR="004A1A8D" w:rsidRPr="004A1A8D">
        <w:t xml:space="preserve"> </w:t>
      </w:r>
      <w:r w:rsidR="004A1A8D">
        <w:t xml:space="preserve"> </w:t>
      </w:r>
    </w:p>
    <w:p w14:paraId="0608AF61" w14:textId="77777777" w:rsidR="004A1A8D" w:rsidRPr="004A1A8D" w:rsidRDefault="004A1A8D" w:rsidP="004A1A8D">
      <w:pPr>
        <w:ind w:left="720" w:right="346"/>
      </w:pPr>
    </w:p>
    <w:p w14:paraId="163CCAEC" w14:textId="77777777" w:rsidR="004A1A8D" w:rsidRPr="004A1A8D" w:rsidRDefault="004A1A8D" w:rsidP="004A1A8D">
      <w:pPr>
        <w:ind w:left="720" w:right="346"/>
      </w:pPr>
      <w:r w:rsidRPr="004A1A8D">
        <w:rPr>
          <w:b/>
        </w:rPr>
        <w:t>Debi Weatherford</w:t>
      </w:r>
      <w:r w:rsidRPr="004A1A8D">
        <w:t xml:space="preserve"> </w:t>
      </w:r>
      <w:r>
        <w:br/>
      </w:r>
      <w:hyperlink r:id="rId16" w:history="1">
        <w:r w:rsidRPr="00AE5A0F">
          <w:rPr>
            <w:rStyle w:val="Hyperlink"/>
          </w:rPr>
          <w:t>debi.weatherford@piedmont.org</w:t>
        </w:r>
      </w:hyperlink>
      <w:r>
        <w:t xml:space="preserve"> </w:t>
      </w:r>
    </w:p>
    <w:p w14:paraId="3541796E" w14:textId="77777777" w:rsidR="004A1A8D" w:rsidRPr="004A1A8D" w:rsidRDefault="004A1A8D" w:rsidP="004A1A8D">
      <w:pPr>
        <w:ind w:left="720" w:right="346"/>
      </w:pPr>
    </w:p>
    <w:p w14:paraId="2BDC458E" w14:textId="77777777" w:rsidR="004A1A8D" w:rsidRPr="004A1A8D" w:rsidRDefault="004A1A8D" w:rsidP="004A1A8D">
      <w:pPr>
        <w:ind w:left="720" w:right="346"/>
        <w:rPr>
          <w:b/>
        </w:rPr>
      </w:pPr>
      <w:r w:rsidRPr="004A1A8D">
        <w:rPr>
          <w:b/>
        </w:rPr>
        <w:t>Laura L. Sak-Castellano</w:t>
      </w:r>
    </w:p>
    <w:p w14:paraId="3C653533" w14:textId="7AB4FCF7" w:rsidR="004A1A8D" w:rsidRPr="004A1A8D" w:rsidRDefault="00A506BC" w:rsidP="004A1A8D">
      <w:pPr>
        <w:ind w:left="720" w:right="346"/>
      </w:pPr>
      <w:hyperlink r:id="rId17" w:history="1">
        <w:r w:rsidR="004A1A8D" w:rsidRPr="00AE5A0F">
          <w:rPr>
            <w:rStyle w:val="Hyperlink"/>
          </w:rPr>
          <w:t>Laura.Sak-Castellano@advocatehealth.com</w:t>
        </w:r>
      </w:hyperlink>
      <w:r w:rsidR="004A1A8D">
        <w:t xml:space="preserve"> </w:t>
      </w:r>
    </w:p>
    <w:p w14:paraId="11B6AC7D" w14:textId="40881657" w:rsidR="004A1A8D" w:rsidRPr="004A1A8D" w:rsidRDefault="004A1A8D" w:rsidP="004A1A8D">
      <w:pPr>
        <w:ind w:left="720" w:right="346"/>
      </w:pPr>
    </w:p>
    <w:p w14:paraId="2803EB6A" w14:textId="5FCDFE0F" w:rsidR="004A1A8D" w:rsidRPr="004A1A8D" w:rsidRDefault="004A1A8D" w:rsidP="004A1A8D">
      <w:pPr>
        <w:ind w:left="720" w:right="346"/>
      </w:pPr>
      <w:r w:rsidRPr="004A1A8D">
        <w:rPr>
          <w:b/>
        </w:rPr>
        <w:t>Deborah Pazourek, AHIA Board Liaison</w:t>
      </w:r>
      <w:r w:rsidRPr="004A1A8D">
        <w:t xml:space="preserve"> </w:t>
      </w:r>
      <w:r>
        <w:br/>
      </w:r>
      <w:hyperlink r:id="rId18" w:history="1">
        <w:r w:rsidRPr="00AE5A0F">
          <w:rPr>
            <w:rStyle w:val="Hyperlink"/>
          </w:rPr>
          <w:t>Deborah.L.Pazourek@medstar.net</w:t>
        </w:r>
      </w:hyperlink>
      <w:r>
        <w:t xml:space="preserve"> </w:t>
      </w:r>
    </w:p>
    <w:p w14:paraId="396AF73B" w14:textId="77777777" w:rsidR="004A1A8D" w:rsidRDefault="004A1A8D" w:rsidP="00BF5207">
      <w:pPr>
        <w:spacing w:line="374" w:lineRule="auto"/>
        <w:ind w:left="140" w:right="347"/>
        <w:jc w:val="both"/>
        <w:rPr>
          <w:b/>
          <w:color w:val="FF0000"/>
        </w:rPr>
      </w:pPr>
    </w:p>
    <w:p w14:paraId="579B7556" w14:textId="0C5984A0" w:rsidR="00BF5207" w:rsidRPr="009C1763" w:rsidRDefault="009F044A" w:rsidP="00700DEB">
      <w:pPr>
        <w:rPr>
          <w:rFonts w:eastAsia="Calibri" w:cstheme="minorHAnsi"/>
          <w:b/>
          <w:i/>
          <w:sz w:val="24"/>
        </w:rPr>
      </w:pPr>
      <w:r>
        <w:rPr>
          <w:noProof/>
        </w:rPr>
        <mc:AlternateContent>
          <mc:Choice Requires="wps">
            <w:drawing>
              <wp:anchor distT="0" distB="0" distL="114300" distR="114300" simplePos="0" relativeHeight="251666432" behindDoc="0" locked="0" layoutInCell="1" allowOverlap="1" wp14:anchorId="34AAEE56" wp14:editId="28D18631">
                <wp:simplePos x="0" y="0"/>
                <wp:positionH relativeFrom="column">
                  <wp:posOffset>5873750</wp:posOffset>
                </wp:positionH>
                <wp:positionV relativeFrom="paragraph">
                  <wp:posOffset>1992630</wp:posOffset>
                </wp:positionV>
                <wp:extent cx="42545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chemeClr val="lt1"/>
                        </a:solidFill>
                        <a:ln w="6350">
                          <a:noFill/>
                        </a:ln>
                      </wps:spPr>
                      <wps:txbx>
                        <w:txbxContent>
                          <w:p w14:paraId="602199BE" w14:textId="5A801822" w:rsidR="009F044A" w:rsidRPr="009F044A" w:rsidRDefault="009F044A">
                            <w:pPr>
                              <w:rPr>
                                <w:color w:val="8EAADB" w:themeColor="accent1" w:themeTint="99"/>
                              </w:rPr>
                            </w:pPr>
                            <w:r w:rsidRPr="009F044A">
                              <w:rPr>
                                <w:color w:val="8EAADB" w:themeColor="accent1" w:themeTint="99"/>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AEE56" id="Text Box 4" o:spid="_x0000_s1033" type="#_x0000_t202" style="position:absolute;margin-left:462.5pt;margin-top:156.9pt;width:3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" fillcolor="white [3201]" stroked="f" strokeweight=".5pt">
                <v:textbox>
                  <w:txbxContent>
                    <w:p w14:paraId="602199BE" w14:textId="5A801822" w:rsidR="009F044A" w:rsidRPr="009F044A" w:rsidRDefault="009F044A">
                      <w:pPr>
                        <w:rPr>
                          <w:color w:val="8EAADB" w:themeColor="accent1" w:themeTint="99"/>
                        </w:rPr>
                      </w:pPr>
                      <w:r w:rsidRPr="009F044A">
                        <w:rPr>
                          <w:color w:val="8EAADB" w:themeColor="accent1" w:themeTint="99"/>
                        </w:rPr>
                        <w:t>10</w:t>
                      </w:r>
                    </w:p>
                  </w:txbxContent>
                </v:textbox>
              </v:shape>
            </w:pict>
          </mc:Fallback>
        </mc:AlternateContent>
      </w:r>
    </w:p>
    <w:sectPr w:rsidR="00BF5207" w:rsidRPr="009C1763" w:rsidSect="004A1A8D">
      <w:type w:val="continuous"/>
      <w:pgSz w:w="12240" w:h="20160" w:code="5"/>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3C0A" w14:textId="77777777" w:rsidR="00552F7C" w:rsidRDefault="00552F7C" w:rsidP="00AA0131">
      <w:r>
        <w:separator/>
      </w:r>
    </w:p>
  </w:endnote>
  <w:endnote w:type="continuationSeparator" w:id="0">
    <w:p w14:paraId="046C0CA7" w14:textId="77777777" w:rsidR="00552F7C" w:rsidRDefault="00552F7C" w:rsidP="00AA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A4D77"/>
      </w:rPr>
      <w:id w:val="1352762315"/>
      <w:docPartObj>
        <w:docPartGallery w:val="Page Numbers (Bottom of Page)"/>
        <w:docPartUnique/>
      </w:docPartObj>
    </w:sdtPr>
    <w:sdtEndPr>
      <w:rPr>
        <w:rFonts w:ascii="Times New Roman" w:hAnsi="Times New Roman" w:cs="Times New Roman"/>
        <w:noProof/>
        <w:sz w:val="20"/>
        <w:szCs w:val="18"/>
      </w:rPr>
    </w:sdtEndPr>
    <w:sdtContent>
      <w:p w14:paraId="442B2E92" w14:textId="77777777" w:rsidR="00D56952" w:rsidRPr="00CD2294" w:rsidRDefault="00D56952">
        <w:pPr>
          <w:pStyle w:val="Footer"/>
          <w:jc w:val="right"/>
          <w:rPr>
            <w:color w:val="2A4D77"/>
          </w:rPr>
        </w:pPr>
      </w:p>
      <w:p w14:paraId="47A66052" w14:textId="5FD09E16" w:rsidR="001341F9" w:rsidRPr="00CD2294" w:rsidRDefault="008563D8" w:rsidP="00CD2294">
        <w:pPr>
          <w:jc w:val="right"/>
          <w:rPr>
            <w:rFonts w:ascii="Times New Roman" w:hAnsi="Times New Roman" w:cs="Times New Roman"/>
            <w:color w:val="2A4D77"/>
            <w:sz w:val="20"/>
            <w:szCs w:val="18"/>
          </w:rPr>
        </w:pPr>
        <w:r w:rsidRPr="00CD2294">
          <w:rPr>
            <w:rFonts w:cstheme="minorHAnsi"/>
            <w:color w:val="2A4D77"/>
            <w:sz w:val="20"/>
            <w:szCs w:val="20"/>
          </w:rPr>
          <w:t xml:space="preserve">Auditing the 340B Program For Disproportionate Share Hospitals | </w:t>
        </w:r>
        <w:r w:rsidR="001341F9" w:rsidRPr="00CD2294">
          <w:rPr>
            <w:rFonts w:cstheme="minorHAnsi"/>
            <w:color w:val="2A4D77"/>
            <w:sz w:val="20"/>
            <w:szCs w:val="18"/>
          </w:rPr>
          <w:fldChar w:fldCharType="begin"/>
        </w:r>
        <w:r w:rsidR="001341F9" w:rsidRPr="00CD2294">
          <w:rPr>
            <w:rFonts w:cstheme="minorHAnsi"/>
            <w:color w:val="2A4D77"/>
            <w:sz w:val="20"/>
            <w:szCs w:val="18"/>
          </w:rPr>
          <w:instrText xml:space="preserve"> PAGE   \* MERGEFORMAT </w:instrText>
        </w:r>
        <w:r w:rsidR="001341F9" w:rsidRPr="00CD2294">
          <w:rPr>
            <w:rFonts w:cstheme="minorHAnsi"/>
            <w:color w:val="2A4D77"/>
            <w:sz w:val="20"/>
            <w:szCs w:val="18"/>
          </w:rPr>
          <w:fldChar w:fldCharType="separate"/>
        </w:r>
        <w:r w:rsidR="00A506BC">
          <w:rPr>
            <w:rFonts w:cstheme="minorHAnsi"/>
            <w:noProof/>
            <w:color w:val="2A4D77"/>
            <w:sz w:val="20"/>
            <w:szCs w:val="18"/>
          </w:rPr>
          <w:t>0</w:t>
        </w:r>
        <w:r w:rsidR="001341F9" w:rsidRPr="00CD2294">
          <w:rPr>
            <w:rFonts w:cstheme="minorHAnsi"/>
            <w:noProof/>
            <w:color w:val="2A4D77"/>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5A54" w14:textId="77777777" w:rsidR="00552F7C" w:rsidRDefault="00552F7C" w:rsidP="00AA0131">
      <w:r>
        <w:separator/>
      </w:r>
    </w:p>
  </w:footnote>
  <w:footnote w:type="continuationSeparator" w:id="0">
    <w:p w14:paraId="47BB63E2" w14:textId="77777777" w:rsidR="00552F7C" w:rsidRDefault="00552F7C" w:rsidP="00AA0131">
      <w:r>
        <w:continuationSeparator/>
      </w:r>
    </w:p>
  </w:footnote>
  <w:footnote w:id="1">
    <w:p w14:paraId="46FDEEFC" w14:textId="77777777" w:rsidR="00001EB5" w:rsidRPr="009C1763" w:rsidRDefault="00001EB5" w:rsidP="00001EB5">
      <w:pPr>
        <w:pStyle w:val="FootnoteText"/>
        <w:rPr>
          <w:rFonts w:cstheme="minorHAnsi"/>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As per HRSA website, eligible organization</w:t>
      </w:r>
      <w:r w:rsidR="00301F23" w:rsidRPr="00B12DDD">
        <w:rPr>
          <w:rFonts w:cstheme="minorHAnsi"/>
          <w:color w:val="FF0000"/>
          <w:sz w:val="16"/>
          <w:szCs w:val="16"/>
        </w:rPr>
        <w:t>s</w:t>
      </w:r>
      <w:r w:rsidRPr="00B10C7F">
        <w:rPr>
          <w:rFonts w:cstheme="minorHAnsi"/>
          <w:color w:val="2A4D77"/>
          <w:sz w:val="16"/>
          <w:szCs w:val="16"/>
        </w:rPr>
        <w:t xml:space="preserve">/covered entities include: Health centers (i.e. federal qualified health centers, federally qualified health center look alike, Native Hawaiian Health centers, Tribal/Urban Indian Health Centers) Ryan White HIV/AIDS Program grantees, Hospitals </w:t>
      </w:r>
      <w:r w:rsidR="00E638CF">
        <w:rPr>
          <w:rFonts w:cstheme="minorHAnsi"/>
          <w:color w:val="2A4D77"/>
          <w:sz w:val="16"/>
          <w:szCs w:val="16"/>
        </w:rPr>
        <w:t>[</w:t>
      </w:r>
      <w:r w:rsidRPr="00B10C7F">
        <w:rPr>
          <w:rFonts w:cstheme="minorHAnsi"/>
          <w:color w:val="2A4D77"/>
          <w:sz w:val="16"/>
          <w:szCs w:val="16"/>
        </w:rPr>
        <w:t>i.e. Children’s Hospitals, Critical Access Hospitals, Disproportionate Share Hospitals</w:t>
      </w:r>
      <w:r w:rsidR="004A0282" w:rsidRPr="00B10C7F">
        <w:rPr>
          <w:rFonts w:cstheme="minorHAnsi"/>
          <w:color w:val="2A4D77"/>
          <w:sz w:val="16"/>
          <w:szCs w:val="16"/>
        </w:rPr>
        <w:t xml:space="preserve"> (at least 11.75% disproportionate requirement</w:t>
      </w:r>
      <w:r w:rsidR="00E638CF">
        <w:rPr>
          <w:rFonts w:cstheme="minorHAnsi"/>
          <w:color w:val="2A4D77"/>
          <w:sz w:val="16"/>
          <w:szCs w:val="16"/>
        </w:rPr>
        <w:t>)]</w:t>
      </w:r>
      <w:r w:rsidRPr="00B10C7F">
        <w:rPr>
          <w:rFonts w:cstheme="minorHAnsi"/>
          <w:color w:val="2A4D77"/>
          <w:sz w:val="16"/>
          <w:szCs w:val="16"/>
        </w:rPr>
        <w:t>, Free Standing Cancer Hospitals, Rural Referral Centers, Sole Community Hospitals), Specialized Clinics (i.e. Black Lung Clinics, Comprehensive Hemophilia Diagnostic Treatment Centers, Title X Family Planning Clinics, Sexually Transmitted Disease Clinics, Tuberculosis Clinics)</w:t>
      </w:r>
      <w:r w:rsidRPr="00B10C7F">
        <w:rPr>
          <w:rFonts w:cstheme="minorHAnsi"/>
          <w:color w:val="2A4D77"/>
        </w:rPr>
        <w:t xml:space="preserve">  </w:t>
      </w:r>
    </w:p>
  </w:footnote>
  <w:footnote w:id="2">
    <w:p w14:paraId="16C60796" w14:textId="77777777" w:rsidR="008A4EA1" w:rsidRPr="00B10C7F" w:rsidRDefault="008A4EA1">
      <w:pPr>
        <w:pStyle w:val="FootnoteText"/>
        <w:rPr>
          <w:rFonts w:cstheme="minorHAnsi"/>
          <w:color w:val="2A4D77"/>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Medicare Cost report is a required annual cost report submitted to the Center of Medicare and Medicaid Services (“CMS”) by Medicare certified providers. This report contains provider information (i.e. facility</w:t>
      </w:r>
      <w:r w:rsidRPr="00B10C7F">
        <w:rPr>
          <w:rStyle w:val="hgkelc"/>
          <w:rFonts w:cstheme="minorHAnsi"/>
          <w:color w:val="2A4D77"/>
          <w:sz w:val="16"/>
          <w:szCs w:val="16"/>
        </w:rPr>
        <w:t>, utilization data, cost and charge</w:t>
      </w:r>
      <w:r w:rsidR="00E638CF" w:rsidRPr="00B12DDD">
        <w:rPr>
          <w:rStyle w:val="hgkelc"/>
          <w:rFonts w:cstheme="minorHAnsi"/>
          <w:color w:val="FF0000"/>
          <w:sz w:val="16"/>
          <w:szCs w:val="16"/>
        </w:rPr>
        <w:t>s</w:t>
      </w:r>
      <w:r w:rsidRPr="00B10C7F">
        <w:rPr>
          <w:rStyle w:val="hgkelc"/>
          <w:rFonts w:cstheme="minorHAnsi"/>
          <w:color w:val="2A4D77"/>
          <w:sz w:val="16"/>
          <w:szCs w:val="16"/>
        </w:rPr>
        <w:t xml:space="preserve"> by cost center as well as settlement and financial statement data</w:t>
      </w:r>
      <w:r w:rsidR="00E638CF" w:rsidRPr="00B12DDD">
        <w:rPr>
          <w:rStyle w:val="hgkelc"/>
          <w:rFonts w:cstheme="minorHAnsi"/>
          <w:color w:val="FF0000"/>
          <w:sz w:val="16"/>
          <w:szCs w:val="16"/>
        </w:rPr>
        <w:t>)</w:t>
      </w:r>
      <w:r w:rsidRPr="00B10C7F">
        <w:rPr>
          <w:rStyle w:val="hgkelc"/>
          <w:rFonts w:cstheme="minorHAnsi"/>
          <w:color w:val="2A4D77"/>
          <w:sz w:val="16"/>
          <w:szCs w:val="16"/>
        </w:rPr>
        <w:t>.</w:t>
      </w:r>
    </w:p>
  </w:footnote>
  <w:footnote w:id="3">
    <w:p w14:paraId="461DBC0A" w14:textId="77777777" w:rsidR="00001EB5" w:rsidRDefault="00001EB5" w:rsidP="00001EB5">
      <w:pPr>
        <w:pStyle w:val="FootnoteText"/>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Information obtained from Federal Register/Vol. 61, No. 207/Thursday, October 24, 1996/Notices</w:t>
      </w:r>
    </w:p>
  </w:footnote>
  <w:footnote w:id="4">
    <w:p w14:paraId="7DC3AE76" w14:textId="77777777" w:rsidR="00332B75" w:rsidRPr="00B10C7F" w:rsidRDefault="00332B75">
      <w:pPr>
        <w:pStyle w:val="FootnoteText"/>
        <w:rPr>
          <w:rFonts w:cstheme="minorHAnsi"/>
          <w:color w:val="2A4D77"/>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http://www.nachc.org/wp-content/uploads/2018/09/Medicaid-ch</w:t>
      </w:r>
      <w:r w:rsidR="00B95326" w:rsidRPr="00B10C7F">
        <w:rPr>
          <w:rFonts w:cstheme="minorHAnsi"/>
          <w:color w:val="2A4D77"/>
          <w:sz w:val="16"/>
          <w:szCs w:val="16"/>
        </w:rPr>
        <w:t>apter-from-NACHC-340B-Manual.</w:t>
      </w:r>
    </w:p>
  </w:footnote>
  <w:footnote w:id="5">
    <w:p w14:paraId="5708D51C" w14:textId="77777777" w:rsidR="000C1800" w:rsidRDefault="000C1800">
      <w:pPr>
        <w:pStyle w:val="FootnoteText"/>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https://oig.hhs.gov/oei/reports/oei-05-13-00431.</w:t>
      </w:r>
    </w:p>
  </w:footnote>
  <w:footnote w:id="6">
    <w:p w14:paraId="08E470E9" w14:textId="77777777" w:rsidR="00D60CF5" w:rsidRPr="00B10C7F" w:rsidRDefault="00D60CF5">
      <w:pPr>
        <w:pStyle w:val="FootnoteText"/>
        <w:rPr>
          <w:rFonts w:cstheme="minorHAnsi"/>
          <w:color w:val="2A4D77"/>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https://www.hrs</w:t>
      </w:r>
      <w:r w:rsidR="00B95326" w:rsidRPr="00B10C7F">
        <w:rPr>
          <w:rFonts w:cstheme="minorHAnsi"/>
          <w:color w:val="2A4D77"/>
          <w:sz w:val="16"/>
          <w:szCs w:val="16"/>
        </w:rPr>
        <w:t>a.gov/opa/updates/july-2014</w:t>
      </w:r>
    </w:p>
  </w:footnote>
  <w:footnote w:id="7">
    <w:p w14:paraId="3ECC570A" w14:textId="77777777" w:rsidR="00580D34" w:rsidRPr="00B10C7F" w:rsidRDefault="00580D34">
      <w:pPr>
        <w:pStyle w:val="FootnoteText"/>
        <w:rPr>
          <w:rFonts w:cstheme="minorHAnsi"/>
          <w:color w:val="2A4D77"/>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Disproportionate Share Hospitals serve a significant number of low-income patients and receive payments from the Centers for Medicaid and Medicare Services to cover the cost</w:t>
      </w:r>
      <w:r w:rsidR="00B12DDD">
        <w:rPr>
          <w:rFonts w:cstheme="minorHAnsi"/>
          <w:color w:val="2A4D77"/>
          <w:sz w:val="16"/>
          <w:szCs w:val="16"/>
        </w:rPr>
        <w:t>s</w:t>
      </w:r>
      <w:r w:rsidRPr="00B10C7F">
        <w:rPr>
          <w:rFonts w:cstheme="minorHAnsi"/>
          <w:color w:val="2A4D77"/>
          <w:sz w:val="16"/>
          <w:szCs w:val="16"/>
        </w:rPr>
        <w:t xml:space="preserve"> of providing care to uninsured patients. Disproportionate share hospitals are defined in Section 1886(d</w:t>
      </w:r>
      <w:r w:rsidR="00EC0933" w:rsidRPr="00B10C7F">
        <w:rPr>
          <w:rFonts w:cstheme="minorHAnsi"/>
          <w:color w:val="2A4D77"/>
          <w:sz w:val="16"/>
          <w:szCs w:val="16"/>
        </w:rPr>
        <w:t>) (</w:t>
      </w:r>
      <w:r w:rsidRPr="00B10C7F">
        <w:rPr>
          <w:rFonts w:cstheme="minorHAnsi"/>
          <w:color w:val="2A4D77"/>
          <w:sz w:val="16"/>
          <w:szCs w:val="16"/>
        </w:rPr>
        <w:t>1</w:t>
      </w:r>
      <w:r w:rsidR="00EC0933" w:rsidRPr="00B10C7F">
        <w:rPr>
          <w:rFonts w:cstheme="minorHAnsi"/>
          <w:color w:val="2A4D77"/>
          <w:sz w:val="16"/>
          <w:szCs w:val="16"/>
        </w:rPr>
        <w:t>) (</w:t>
      </w:r>
      <w:r w:rsidRPr="00B10C7F">
        <w:rPr>
          <w:rFonts w:cstheme="minorHAnsi"/>
          <w:color w:val="2A4D77"/>
          <w:sz w:val="16"/>
          <w:szCs w:val="16"/>
        </w:rPr>
        <w:t xml:space="preserve">B) of the Social Security Act. To be eligible to participate in the 340B Drug Pricing Program, disproportionate share hospitals must meet the requirements of 42 USC </w:t>
      </w:r>
      <w:r w:rsidR="00EC0933" w:rsidRPr="00B10C7F">
        <w:rPr>
          <w:rFonts w:cstheme="minorHAnsi"/>
          <w:color w:val="2A4D77"/>
          <w:sz w:val="16"/>
          <w:szCs w:val="16"/>
        </w:rPr>
        <w:t>256b (</w:t>
      </w:r>
      <w:r w:rsidRPr="00B10C7F">
        <w:rPr>
          <w:rFonts w:cstheme="minorHAnsi"/>
          <w:color w:val="2A4D77"/>
          <w:sz w:val="16"/>
          <w:szCs w:val="16"/>
        </w:rPr>
        <w:t>a</w:t>
      </w:r>
      <w:r w:rsidR="00EC0933" w:rsidRPr="00B10C7F">
        <w:rPr>
          <w:rFonts w:cstheme="minorHAnsi"/>
          <w:color w:val="2A4D77"/>
          <w:sz w:val="16"/>
          <w:szCs w:val="16"/>
        </w:rPr>
        <w:t>) (</w:t>
      </w:r>
      <w:r w:rsidRPr="00B10C7F">
        <w:rPr>
          <w:rFonts w:cstheme="minorHAnsi"/>
          <w:color w:val="2A4D77"/>
          <w:sz w:val="16"/>
          <w:szCs w:val="16"/>
        </w:rPr>
        <w:t>4</w:t>
      </w:r>
      <w:r w:rsidR="00EC0933" w:rsidRPr="00B10C7F">
        <w:rPr>
          <w:rFonts w:cstheme="minorHAnsi"/>
          <w:color w:val="2A4D77"/>
          <w:sz w:val="16"/>
          <w:szCs w:val="16"/>
        </w:rPr>
        <w:t>) (</w:t>
      </w:r>
      <w:r w:rsidRPr="00B10C7F">
        <w:rPr>
          <w:rFonts w:cstheme="minorHAnsi"/>
          <w:color w:val="2A4D77"/>
          <w:sz w:val="16"/>
          <w:szCs w:val="16"/>
        </w:rPr>
        <w:t>L).</w:t>
      </w:r>
    </w:p>
  </w:footnote>
  <w:footnote w:id="8">
    <w:p w14:paraId="4033DD8B" w14:textId="77777777" w:rsidR="00584F1B" w:rsidRPr="00B10C7F" w:rsidRDefault="00584F1B">
      <w:pPr>
        <w:pStyle w:val="FootnoteText"/>
        <w:rPr>
          <w:rFonts w:cstheme="minorHAnsi"/>
          <w:color w:val="2A4D77"/>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Is an area that treats both inpatient and outpatient</w:t>
      </w:r>
      <w:r w:rsidR="00E638CF">
        <w:rPr>
          <w:rFonts w:cstheme="minorHAnsi"/>
          <w:color w:val="2A4D77"/>
          <w:sz w:val="16"/>
          <w:szCs w:val="16"/>
        </w:rPr>
        <w:t>.</w:t>
      </w:r>
    </w:p>
  </w:footnote>
  <w:footnote w:id="9">
    <w:p w14:paraId="20C6FF34" w14:textId="77777777" w:rsidR="00CE56DB" w:rsidRDefault="00CE56DB">
      <w:pPr>
        <w:pStyle w:val="FootnoteText"/>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 xml:space="preserve">Split billing is the process of separating the inpatient and outpatient hospital charges from 340B-eligible areas. Effectively, this method identifies all outpatient charge codes and uses them to identify drug replenishment </w:t>
      </w:r>
      <w:r w:rsidR="001C19FB" w:rsidRPr="00B10C7F">
        <w:rPr>
          <w:rFonts w:cstheme="minorHAnsi"/>
          <w:color w:val="2A4D77"/>
          <w:sz w:val="16"/>
          <w:szCs w:val="16"/>
        </w:rPr>
        <w:t>o</w:t>
      </w:r>
      <w:r w:rsidRPr="00B10C7F">
        <w:rPr>
          <w:rFonts w:cstheme="minorHAnsi"/>
          <w:color w:val="2A4D77"/>
          <w:sz w:val="16"/>
          <w:szCs w:val="16"/>
        </w:rPr>
        <w:t>pportunities at 340B pricing.</w:t>
      </w:r>
      <w:r w:rsidR="001C19FB" w:rsidRPr="00B10C7F">
        <w:rPr>
          <w:color w:val="2A4D77"/>
        </w:rPr>
        <w:t xml:space="preserve"> </w:t>
      </w:r>
    </w:p>
  </w:footnote>
  <w:footnote w:id="10">
    <w:p w14:paraId="0D394257" w14:textId="77777777" w:rsidR="000A5A47" w:rsidRPr="009C1763" w:rsidRDefault="000A5A47" w:rsidP="000A5A47">
      <w:pPr>
        <w:pStyle w:val="FootnoteText"/>
        <w:rPr>
          <w:rFonts w:cstheme="minorHAnsi"/>
        </w:rPr>
      </w:pPr>
      <w:r w:rsidRPr="00B10C7F">
        <w:rPr>
          <w:rStyle w:val="FootnoteReference"/>
          <w:rFonts w:cstheme="minorHAnsi"/>
          <w:color w:val="2A4D77"/>
        </w:rPr>
        <w:footnoteRef/>
      </w:r>
      <w:r w:rsidRPr="00B10C7F">
        <w:rPr>
          <w:rFonts w:cstheme="minorHAnsi"/>
          <w:color w:val="2A4D77"/>
        </w:rPr>
        <w:t xml:space="preserve"> </w:t>
      </w:r>
      <w:r w:rsidRPr="00B10C7F">
        <w:rPr>
          <w:rFonts w:cstheme="minorHAnsi"/>
          <w:color w:val="2A4D77"/>
          <w:sz w:val="16"/>
          <w:szCs w:val="16"/>
        </w:rPr>
        <w:t xml:space="preserve">There is a </w:t>
      </w:r>
      <w:r w:rsidRPr="00B10C7F">
        <w:rPr>
          <w:rFonts w:cstheme="minorHAnsi"/>
          <w:color w:val="2A4D77"/>
          <w:sz w:val="16"/>
          <w:szCs w:val="16"/>
          <w:lang w:val="en"/>
        </w:rPr>
        <w:t>statutory prohibition for obtaining covered outpatient drugs through a group purchasing organization. However, the Pharmacy department has the option to purchase drugs at whole sale acquisition cost, which are wholesale prices charged by pharmaceutical manufacturers to the institution. As such, it is imperative, that institution track drugs purchased under 340B, WAC and GPO for inpatient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E0B2" w14:textId="77777777" w:rsidR="001341F9" w:rsidRDefault="001341F9" w:rsidP="00611BC4">
    <w:pPr>
      <w:pStyle w:val="Header"/>
      <w:tabs>
        <w:tab w:val="left" w:pos="73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6DC7E"/>
    <w:multiLevelType w:val="hybridMultilevel"/>
    <w:tmpl w:val="55F730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4FE2"/>
    <w:multiLevelType w:val="hybridMultilevel"/>
    <w:tmpl w:val="941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6FA"/>
    <w:multiLevelType w:val="hybridMultilevel"/>
    <w:tmpl w:val="B7CE075C"/>
    <w:lvl w:ilvl="0" w:tplc="978A2A9A">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13639"/>
    <w:multiLevelType w:val="hybridMultilevel"/>
    <w:tmpl w:val="2604D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60BDB"/>
    <w:multiLevelType w:val="hybridMultilevel"/>
    <w:tmpl w:val="85A45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C49"/>
    <w:multiLevelType w:val="hybridMultilevel"/>
    <w:tmpl w:val="32EC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51E1"/>
    <w:multiLevelType w:val="hybridMultilevel"/>
    <w:tmpl w:val="F8243EBA"/>
    <w:lvl w:ilvl="0" w:tplc="E96A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8459F"/>
    <w:multiLevelType w:val="multilevel"/>
    <w:tmpl w:val="62C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779C2"/>
    <w:multiLevelType w:val="hybridMultilevel"/>
    <w:tmpl w:val="14FC6EE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64281"/>
    <w:multiLevelType w:val="hybridMultilevel"/>
    <w:tmpl w:val="457E6D98"/>
    <w:lvl w:ilvl="0" w:tplc="5E0A3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E0665"/>
    <w:multiLevelType w:val="hybridMultilevel"/>
    <w:tmpl w:val="8DE2AE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032F"/>
    <w:multiLevelType w:val="hybridMultilevel"/>
    <w:tmpl w:val="8BB29588"/>
    <w:lvl w:ilvl="0" w:tplc="D904E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E2A3B"/>
    <w:multiLevelType w:val="hybridMultilevel"/>
    <w:tmpl w:val="A634C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845480D"/>
    <w:multiLevelType w:val="hybridMultilevel"/>
    <w:tmpl w:val="23E68D7E"/>
    <w:lvl w:ilvl="0" w:tplc="44F24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346A2"/>
    <w:multiLevelType w:val="hybridMultilevel"/>
    <w:tmpl w:val="F440019E"/>
    <w:lvl w:ilvl="0" w:tplc="22824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467EB"/>
    <w:multiLevelType w:val="hybridMultilevel"/>
    <w:tmpl w:val="6F186EBC"/>
    <w:lvl w:ilvl="0" w:tplc="8C5A0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AC4EA9"/>
    <w:multiLevelType w:val="hybridMultilevel"/>
    <w:tmpl w:val="AB00D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41627A"/>
    <w:multiLevelType w:val="hybridMultilevel"/>
    <w:tmpl w:val="7430D6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5795616"/>
    <w:multiLevelType w:val="hybridMultilevel"/>
    <w:tmpl w:val="C7BE7F94"/>
    <w:lvl w:ilvl="0" w:tplc="17DA7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3AA"/>
    <w:multiLevelType w:val="hybridMultilevel"/>
    <w:tmpl w:val="EE689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163A88"/>
    <w:multiLevelType w:val="hybridMultilevel"/>
    <w:tmpl w:val="44FABA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912B25"/>
    <w:multiLevelType w:val="hybridMultilevel"/>
    <w:tmpl w:val="34748E0E"/>
    <w:lvl w:ilvl="0" w:tplc="3F98F81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C19F1"/>
    <w:multiLevelType w:val="hybridMultilevel"/>
    <w:tmpl w:val="0A84E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C7D0F"/>
    <w:multiLevelType w:val="hybridMultilevel"/>
    <w:tmpl w:val="91A8700E"/>
    <w:lvl w:ilvl="0" w:tplc="158E6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502E9"/>
    <w:multiLevelType w:val="hybridMultilevel"/>
    <w:tmpl w:val="B33E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854EC"/>
    <w:multiLevelType w:val="hybridMultilevel"/>
    <w:tmpl w:val="A30A40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E513B7"/>
    <w:multiLevelType w:val="hybridMultilevel"/>
    <w:tmpl w:val="8EFA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278F9"/>
    <w:multiLevelType w:val="hybridMultilevel"/>
    <w:tmpl w:val="89DC516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413372"/>
    <w:multiLevelType w:val="hybridMultilevel"/>
    <w:tmpl w:val="09381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1255D"/>
    <w:multiLevelType w:val="hybridMultilevel"/>
    <w:tmpl w:val="30662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725C77"/>
    <w:multiLevelType w:val="hybridMultilevel"/>
    <w:tmpl w:val="F3D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55F3F"/>
    <w:multiLevelType w:val="hybridMultilevel"/>
    <w:tmpl w:val="B02C0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32E7"/>
    <w:multiLevelType w:val="hybridMultilevel"/>
    <w:tmpl w:val="6F186EBC"/>
    <w:lvl w:ilvl="0" w:tplc="8C5A0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DF0AD6"/>
    <w:multiLevelType w:val="hybridMultilevel"/>
    <w:tmpl w:val="F3FCBB7E"/>
    <w:lvl w:ilvl="0" w:tplc="9CF84754">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F73ECD"/>
    <w:multiLevelType w:val="hybridMultilevel"/>
    <w:tmpl w:val="EC00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7E0930"/>
    <w:multiLevelType w:val="hybridMultilevel"/>
    <w:tmpl w:val="C53E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F35BF"/>
    <w:multiLevelType w:val="hybridMultilevel"/>
    <w:tmpl w:val="A2B48168"/>
    <w:lvl w:ilvl="0" w:tplc="0812F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02538"/>
    <w:multiLevelType w:val="hybridMultilevel"/>
    <w:tmpl w:val="67D2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854EB"/>
    <w:multiLevelType w:val="hybridMultilevel"/>
    <w:tmpl w:val="931E69A6"/>
    <w:lvl w:ilvl="0" w:tplc="85D603F0">
      <w:start w:val="1"/>
      <w:numFmt w:val="upperRoman"/>
      <w:lvlText w:val="%1."/>
      <w:lvlJc w:val="left"/>
      <w:pPr>
        <w:ind w:left="1296" w:hanging="720"/>
      </w:pPr>
      <w:rPr>
        <w:rFonts w:hint="default"/>
        <w:sz w:val="3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95D4288"/>
    <w:multiLevelType w:val="hybridMultilevel"/>
    <w:tmpl w:val="05C6C34E"/>
    <w:lvl w:ilvl="0" w:tplc="3FE45B54">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2ED27E2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86751"/>
    <w:multiLevelType w:val="hybridMultilevel"/>
    <w:tmpl w:val="D26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060D7"/>
    <w:multiLevelType w:val="hybridMultilevel"/>
    <w:tmpl w:val="B412C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4"/>
  </w:num>
  <w:num w:numId="3">
    <w:abstractNumId w:val="19"/>
  </w:num>
  <w:num w:numId="4">
    <w:abstractNumId w:val="10"/>
  </w:num>
  <w:num w:numId="5">
    <w:abstractNumId w:val="40"/>
  </w:num>
  <w:num w:numId="6">
    <w:abstractNumId w:val="27"/>
  </w:num>
  <w:num w:numId="7">
    <w:abstractNumId w:val="0"/>
  </w:num>
  <w:num w:numId="8">
    <w:abstractNumId w:val="31"/>
  </w:num>
  <w:num w:numId="9">
    <w:abstractNumId w:val="9"/>
  </w:num>
  <w:num w:numId="10">
    <w:abstractNumId w:val="18"/>
  </w:num>
  <w:num w:numId="11">
    <w:abstractNumId w:val="14"/>
  </w:num>
  <w:num w:numId="12">
    <w:abstractNumId w:val="11"/>
  </w:num>
  <w:num w:numId="13">
    <w:abstractNumId w:val="25"/>
  </w:num>
  <w:num w:numId="14">
    <w:abstractNumId w:val="13"/>
  </w:num>
  <w:num w:numId="15">
    <w:abstractNumId w:val="23"/>
  </w:num>
  <w:num w:numId="16">
    <w:abstractNumId w:val="30"/>
  </w:num>
  <w:num w:numId="17">
    <w:abstractNumId w:val="6"/>
  </w:num>
  <w:num w:numId="18">
    <w:abstractNumId w:val="8"/>
  </w:num>
  <w:num w:numId="19">
    <w:abstractNumId w:val="1"/>
  </w:num>
  <w:num w:numId="20">
    <w:abstractNumId w:val="22"/>
  </w:num>
  <w:num w:numId="21">
    <w:abstractNumId w:val="26"/>
  </w:num>
  <w:num w:numId="22">
    <w:abstractNumId w:val="32"/>
  </w:num>
  <w:num w:numId="23">
    <w:abstractNumId w:val="15"/>
  </w:num>
  <w:num w:numId="24">
    <w:abstractNumId w:val="38"/>
  </w:num>
  <w:num w:numId="25">
    <w:abstractNumId w:val="5"/>
  </w:num>
  <w:num w:numId="26">
    <w:abstractNumId w:val="33"/>
  </w:num>
  <w:num w:numId="27">
    <w:abstractNumId w:val="35"/>
  </w:num>
  <w:num w:numId="28">
    <w:abstractNumId w:val="16"/>
  </w:num>
  <w:num w:numId="29">
    <w:abstractNumId w:val="3"/>
  </w:num>
  <w:num w:numId="30">
    <w:abstractNumId w:val="41"/>
  </w:num>
  <w:num w:numId="31">
    <w:abstractNumId w:val="17"/>
  </w:num>
  <w:num w:numId="32">
    <w:abstractNumId w:val="39"/>
  </w:num>
  <w:num w:numId="33">
    <w:abstractNumId w:val="12"/>
  </w:num>
  <w:num w:numId="34">
    <w:abstractNumId w:val="7"/>
  </w:num>
  <w:num w:numId="35">
    <w:abstractNumId w:val="29"/>
  </w:num>
  <w:num w:numId="36">
    <w:abstractNumId w:val="37"/>
  </w:num>
  <w:num w:numId="37">
    <w:abstractNumId w:val="28"/>
  </w:num>
  <w:num w:numId="38">
    <w:abstractNumId w:val="21"/>
  </w:num>
  <w:num w:numId="39">
    <w:abstractNumId w:val="36"/>
  </w:num>
  <w:num w:numId="40">
    <w:abstractNumId w:val="4"/>
  </w:num>
  <w:num w:numId="41">
    <w:abstractNumId w:val="24"/>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1A"/>
    <w:rsid w:val="00000AE3"/>
    <w:rsid w:val="000011C3"/>
    <w:rsid w:val="00001EB5"/>
    <w:rsid w:val="0000205B"/>
    <w:rsid w:val="0000485F"/>
    <w:rsid w:val="00006594"/>
    <w:rsid w:val="00007E16"/>
    <w:rsid w:val="00010B28"/>
    <w:rsid w:val="000119C8"/>
    <w:rsid w:val="00012839"/>
    <w:rsid w:val="00014ED7"/>
    <w:rsid w:val="00015E79"/>
    <w:rsid w:val="00016C13"/>
    <w:rsid w:val="000218F8"/>
    <w:rsid w:val="0002191A"/>
    <w:rsid w:val="0002202E"/>
    <w:rsid w:val="00023DE0"/>
    <w:rsid w:val="0002427A"/>
    <w:rsid w:val="00025443"/>
    <w:rsid w:val="00025CE4"/>
    <w:rsid w:val="00026739"/>
    <w:rsid w:val="000272FA"/>
    <w:rsid w:val="000275EA"/>
    <w:rsid w:val="0002778D"/>
    <w:rsid w:val="00032BEA"/>
    <w:rsid w:val="00035240"/>
    <w:rsid w:val="00035D40"/>
    <w:rsid w:val="00035FD0"/>
    <w:rsid w:val="000369DB"/>
    <w:rsid w:val="00037BDF"/>
    <w:rsid w:val="00040D99"/>
    <w:rsid w:val="00041D89"/>
    <w:rsid w:val="000420B8"/>
    <w:rsid w:val="000430D6"/>
    <w:rsid w:val="00044928"/>
    <w:rsid w:val="00045A6C"/>
    <w:rsid w:val="00046853"/>
    <w:rsid w:val="0005078A"/>
    <w:rsid w:val="0005245C"/>
    <w:rsid w:val="00053402"/>
    <w:rsid w:val="00060E9A"/>
    <w:rsid w:val="000616C4"/>
    <w:rsid w:val="000626D3"/>
    <w:rsid w:val="00062FA0"/>
    <w:rsid w:val="00063406"/>
    <w:rsid w:val="00064F2B"/>
    <w:rsid w:val="0006582E"/>
    <w:rsid w:val="00074C72"/>
    <w:rsid w:val="00075F95"/>
    <w:rsid w:val="00080B4F"/>
    <w:rsid w:val="000811E2"/>
    <w:rsid w:val="00081BDB"/>
    <w:rsid w:val="00087184"/>
    <w:rsid w:val="00087396"/>
    <w:rsid w:val="00090404"/>
    <w:rsid w:val="00090A2C"/>
    <w:rsid w:val="00090C44"/>
    <w:rsid w:val="00091120"/>
    <w:rsid w:val="000925CB"/>
    <w:rsid w:val="0009574D"/>
    <w:rsid w:val="0009599A"/>
    <w:rsid w:val="0009666C"/>
    <w:rsid w:val="00097520"/>
    <w:rsid w:val="00097981"/>
    <w:rsid w:val="000A1215"/>
    <w:rsid w:val="000A28F0"/>
    <w:rsid w:val="000A348F"/>
    <w:rsid w:val="000A3823"/>
    <w:rsid w:val="000A5A47"/>
    <w:rsid w:val="000A6597"/>
    <w:rsid w:val="000A674C"/>
    <w:rsid w:val="000A68A8"/>
    <w:rsid w:val="000B0687"/>
    <w:rsid w:val="000B3F63"/>
    <w:rsid w:val="000B431C"/>
    <w:rsid w:val="000B454E"/>
    <w:rsid w:val="000B4C62"/>
    <w:rsid w:val="000B57C0"/>
    <w:rsid w:val="000B7316"/>
    <w:rsid w:val="000B7F3A"/>
    <w:rsid w:val="000C01CD"/>
    <w:rsid w:val="000C16BC"/>
    <w:rsid w:val="000C1800"/>
    <w:rsid w:val="000C684F"/>
    <w:rsid w:val="000D136A"/>
    <w:rsid w:val="000D3298"/>
    <w:rsid w:val="000D50B9"/>
    <w:rsid w:val="000D5E38"/>
    <w:rsid w:val="000D628F"/>
    <w:rsid w:val="000E0789"/>
    <w:rsid w:val="000E0911"/>
    <w:rsid w:val="000E4CBC"/>
    <w:rsid w:val="000E5974"/>
    <w:rsid w:val="000E6D3A"/>
    <w:rsid w:val="000F08FD"/>
    <w:rsid w:val="000F19F9"/>
    <w:rsid w:val="000F1A7E"/>
    <w:rsid w:val="000F2898"/>
    <w:rsid w:val="000F2E6E"/>
    <w:rsid w:val="000F58A5"/>
    <w:rsid w:val="000F5AAF"/>
    <w:rsid w:val="000F6262"/>
    <w:rsid w:val="00100080"/>
    <w:rsid w:val="001008A4"/>
    <w:rsid w:val="00100981"/>
    <w:rsid w:val="00104662"/>
    <w:rsid w:val="00105F0E"/>
    <w:rsid w:val="00106A36"/>
    <w:rsid w:val="00106D74"/>
    <w:rsid w:val="00113A94"/>
    <w:rsid w:val="00113C64"/>
    <w:rsid w:val="00114131"/>
    <w:rsid w:val="00114424"/>
    <w:rsid w:val="00114DF8"/>
    <w:rsid w:val="00114E97"/>
    <w:rsid w:val="00115B0B"/>
    <w:rsid w:val="00120C5E"/>
    <w:rsid w:val="00120EB5"/>
    <w:rsid w:val="00121602"/>
    <w:rsid w:val="00122D77"/>
    <w:rsid w:val="00124362"/>
    <w:rsid w:val="00126C53"/>
    <w:rsid w:val="00126CCE"/>
    <w:rsid w:val="00130672"/>
    <w:rsid w:val="00130E45"/>
    <w:rsid w:val="00132842"/>
    <w:rsid w:val="00132E53"/>
    <w:rsid w:val="00133772"/>
    <w:rsid w:val="00133FDE"/>
    <w:rsid w:val="001341F9"/>
    <w:rsid w:val="00135FF4"/>
    <w:rsid w:val="001361B6"/>
    <w:rsid w:val="0014017C"/>
    <w:rsid w:val="00140B39"/>
    <w:rsid w:val="00140F1E"/>
    <w:rsid w:val="00143ED5"/>
    <w:rsid w:val="0014528A"/>
    <w:rsid w:val="0014574D"/>
    <w:rsid w:val="001468A0"/>
    <w:rsid w:val="001470AD"/>
    <w:rsid w:val="00147B14"/>
    <w:rsid w:val="00147C6D"/>
    <w:rsid w:val="00150D67"/>
    <w:rsid w:val="0015110D"/>
    <w:rsid w:val="001511F8"/>
    <w:rsid w:val="00151A97"/>
    <w:rsid w:val="0015390F"/>
    <w:rsid w:val="00153F86"/>
    <w:rsid w:val="00155067"/>
    <w:rsid w:val="001557FB"/>
    <w:rsid w:val="0015757F"/>
    <w:rsid w:val="0016165F"/>
    <w:rsid w:val="00161A42"/>
    <w:rsid w:val="00162C91"/>
    <w:rsid w:val="0016494D"/>
    <w:rsid w:val="00164FA0"/>
    <w:rsid w:val="00166D92"/>
    <w:rsid w:val="00170EC0"/>
    <w:rsid w:val="001717B0"/>
    <w:rsid w:val="001719A7"/>
    <w:rsid w:val="00172D07"/>
    <w:rsid w:val="00174347"/>
    <w:rsid w:val="00177AC1"/>
    <w:rsid w:val="001854DB"/>
    <w:rsid w:val="0018560B"/>
    <w:rsid w:val="00185C84"/>
    <w:rsid w:val="001869A7"/>
    <w:rsid w:val="00186BD0"/>
    <w:rsid w:val="00186E4F"/>
    <w:rsid w:val="001873D1"/>
    <w:rsid w:val="0019156F"/>
    <w:rsid w:val="001943A4"/>
    <w:rsid w:val="0019658E"/>
    <w:rsid w:val="0019790E"/>
    <w:rsid w:val="00197E91"/>
    <w:rsid w:val="001A1261"/>
    <w:rsid w:val="001A279D"/>
    <w:rsid w:val="001A283C"/>
    <w:rsid w:val="001A2B77"/>
    <w:rsid w:val="001A2D59"/>
    <w:rsid w:val="001A4055"/>
    <w:rsid w:val="001B164D"/>
    <w:rsid w:val="001B2201"/>
    <w:rsid w:val="001B3006"/>
    <w:rsid w:val="001C19FB"/>
    <w:rsid w:val="001C1B2D"/>
    <w:rsid w:val="001C2D4D"/>
    <w:rsid w:val="001C3FA9"/>
    <w:rsid w:val="001C6B1F"/>
    <w:rsid w:val="001C7418"/>
    <w:rsid w:val="001C7EDF"/>
    <w:rsid w:val="001D00CA"/>
    <w:rsid w:val="001D0827"/>
    <w:rsid w:val="001D0CC4"/>
    <w:rsid w:val="001D18E0"/>
    <w:rsid w:val="001D21F7"/>
    <w:rsid w:val="001D2FA3"/>
    <w:rsid w:val="001D35C0"/>
    <w:rsid w:val="001D3A98"/>
    <w:rsid w:val="001D3F0F"/>
    <w:rsid w:val="001D4D5D"/>
    <w:rsid w:val="001D65E8"/>
    <w:rsid w:val="001E12DA"/>
    <w:rsid w:val="001E3511"/>
    <w:rsid w:val="001E4012"/>
    <w:rsid w:val="001F06C8"/>
    <w:rsid w:val="001F36C9"/>
    <w:rsid w:val="001F3C33"/>
    <w:rsid w:val="001F3F73"/>
    <w:rsid w:val="001F4EBD"/>
    <w:rsid w:val="001F6231"/>
    <w:rsid w:val="001F66B8"/>
    <w:rsid w:val="001F67DA"/>
    <w:rsid w:val="001F7E9B"/>
    <w:rsid w:val="00200FF9"/>
    <w:rsid w:val="002037D6"/>
    <w:rsid w:val="00204E46"/>
    <w:rsid w:val="00205C4D"/>
    <w:rsid w:val="00206009"/>
    <w:rsid w:val="002103A0"/>
    <w:rsid w:val="00210A83"/>
    <w:rsid w:val="00211E0C"/>
    <w:rsid w:val="00212CCA"/>
    <w:rsid w:val="00214339"/>
    <w:rsid w:val="00214659"/>
    <w:rsid w:val="00215190"/>
    <w:rsid w:val="002156D9"/>
    <w:rsid w:val="00215D56"/>
    <w:rsid w:val="00216142"/>
    <w:rsid w:val="002173B1"/>
    <w:rsid w:val="0022016D"/>
    <w:rsid w:val="00224A7F"/>
    <w:rsid w:val="00226F74"/>
    <w:rsid w:val="002276CF"/>
    <w:rsid w:val="00232548"/>
    <w:rsid w:val="0023278F"/>
    <w:rsid w:val="00234450"/>
    <w:rsid w:val="0023464E"/>
    <w:rsid w:val="00234B99"/>
    <w:rsid w:val="002411BA"/>
    <w:rsid w:val="0024403E"/>
    <w:rsid w:val="00245AB6"/>
    <w:rsid w:val="00245EE0"/>
    <w:rsid w:val="0024732C"/>
    <w:rsid w:val="002517EF"/>
    <w:rsid w:val="00251AE9"/>
    <w:rsid w:val="00252A55"/>
    <w:rsid w:val="00252B94"/>
    <w:rsid w:val="00253E01"/>
    <w:rsid w:val="002542F0"/>
    <w:rsid w:val="0025462E"/>
    <w:rsid w:val="00254BBF"/>
    <w:rsid w:val="0026068A"/>
    <w:rsid w:val="00261B4C"/>
    <w:rsid w:val="0026299A"/>
    <w:rsid w:val="0026424C"/>
    <w:rsid w:val="00271E2C"/>
    <w:rsid w:val="00272D66"/>
    <w:rsid w:val="00272DA6"/>
    <w:rsid w:val="00273524"/>
    <w:rsid w:val="002737E7"/>
    <w:rsid w:val="00275784"/>
    <w:rsid w:val="00277FC8"/>
    <w:rsid w:val="00281148"/>
    <w:rsid w:val="00282D18"/>
    <w:rsid w:val="00284DB6"/>
    <w:rsid w:val="00287263"/>
    <w:rsid w:val="002873EF"/>
    <w:rsid w:val="00291000"/>
    <w:rsid w:val="00293EEE"/>
    <w:rsid w:val="00295730"/>
    <w:rsid w:val="00296F53"/>
    <w:rsid w:val="00297124"/>
    <w:rsid w:val="00297F57"/>
    <w:rsid w:val="002A2F2B"/>
    <w:rsid w:val="002A30FE"/>
    <w:rsid w:val="002A4967"/>
    <w:rsid w:val="002A51F2"/>
    <w:rsid w:val="002A7CEC"/>
    <w:rsid w:val="002B1C50"/>
    <w:rsid w:val="002B3517"/>
    <w:rsid w:val="002B4E39"/>
    <w:rsid w:val="002B4F23"/>
    <w:rsid w:val="002B5094"/>
    <w:rsid w:val="002B6F5C"/>
    <w:rsid w:val="002B763B"/>
    <w:rsid w:val="002C0227"/>
    <w:rsid w:val="002C091E"/>
    <w:rsid w:val="002C1C6F"/>
    <w:rsid w:val="002C73BF"/>
    <w:rsid w:val="002D2B05"/>
    <w:rsid w:val="002D2F06"/>
    <w:rsid w:val="002D340F"/>
    <w:rsid w:val="002D4E7B"/>
    <w:rsid w:val="002D58A8"/>
    <w:rsid w:val="002D5BD3"/>
    <w:rsid w:val="002D5F70"/>
    <w:rsid w:val="002D697D"/>
    <w:rsid w:val="002D6D33"/>
    <w:rsid w:val="002D76FA"/>
    <w:rsid w:val="002D7990"/>
    <w:rsid w:val="002D7D09"/>
    <w:rsid w:val="002E02AF"/>
    <w:rsid w:val="002E0AD9"/>
    <w:rsid w:val="002E1014"/>
    <w:rsid w:val="002E5ED1"/>
    <w:rsid w:val="002E676D"/>
    <w:rsid w:val="002E67EF"/>
    <w:rsid w:val="002E7404"/>
    <w:rsid w:val="002F5553"/>
    <w:rsid w:val="002F701B"/>
    <w:rsid w:val="002F7855"/>
    <w:rsid w:val="003002E7"/>
    <w:rsid w:val="00301F23"/>
    <w:rsid w:val="00303D7A"/>
    <w:rsid w:val="00305F30"/>
    <w:rsid w:val="00307966"/>
    <w:rsid w:val="00312969"/>
    <w:rsid w:val="0031315C"/>
    <w:rsid w:val="0031355E"/>
    <w:rsid w:val="00314592"/>
    <w:rsid w:val="003147F0"/>
    <w:rsid w:val="003153E1"/>
    <w:rsid w:val="00315D50"/>
    <w:rsid w:val="003169FC"/>
    <w:rsid w:val="003171C7"/>
    <w:rsid w:val="00317A38"/>
    <w:rsid w:val="00320B91"/>
    <w:rsid w:val="003223A5"/>
    <w:rsid w:val="00322550"/>
    <w:rsid w:val="00322E7E"/>
    <w:rsid w:val="00324041"/>
    <w:rsid w:val="00325925"/>
    <w:rsid w:val="00325C8D"/>
    <w:rsid w:val="0032783B"/>
    <w:rsid w:val="003301BC"/>
    <w:rsid w:val="00330B62"/>
    <w:rsid w:val="00330B9C"/>
    <w:rsid w:val="00331182"/>
    <w:rsid w:val="00332B75"/>
    <w:rsid w:val="00334E99"/>
    <w:rsid w:val="00337F67"/>
    <w:rsid w:val="00341497"/>
    <w:rsid w:val="00342A57"/>
    <w:rsid w:val="00342B52"/>
    <w:rsid w:val="003447EA"/>
    <w:rsid w:val="003505B8"/>
    <w:rsid w:val="003506DA"/>
    <w:rsid w:val="00351554"/>
    <w:rsid w:val="00351A35"/>
    <w:rsid w:val="00352367"/>
    <w:rsid w:val="0035737C"/>
    <w:rsid w:val="00361A38"/>
    <w:rsid w:val="0036482E"/>
    <w:rsid w:val="0036539D"/>
    <w:rsid w:val="003660B5"/>
    <w:rsid w:val="0036637A"/>
    <w:rsid w:val="0036674B"/>
    <w:rsid w:val="00366C93"/>
    <w:rsid w:val="003755E6"/>
    <w:rsid w:val="0037746B"/>
    <w:rsid w:val="003803AA"/>
    <w:rsid w:val="00380521"/>
    <w:rsid w:val="00381B09"/>
    <w:rsid w:val="00382FCF"/>
    <w:rsid w:val="00385BC6"/>
    <w:rsid w:val="00386177"/>
    <w:rsid w:val="00386360"/>
    <w:rsid w:val="0038654F"/>
    <w:rsid w:val="00387501"/>
    <w:rsid w:val="00387EB7"/>
    <w:rsid w:val="003901EE"/>
    <w:rsid w:val="00390C14"/>
    <w:rsid w:val="00392AF2"/>
    <w:rsid w:val="003938AC"/>
    <w:rsid w:val="00393D31"/>
    <w:rsid w:val="00395DEE"/>
    <w:rsid w:val="00396DD1"/>
    <w:rsid w:val="003970AA"/>
    <w:rsid w:val="003972AC"/>
    <w:rsid w:val="003972CA"/>
    <w:rsid w:val="00397EAE"/>
    <w:rsid w:val="003A06CD"/>
    <w:rsid w:val="003A1448"/>
    <w:rsid w:val="003A23E5"/>
    <w:rsid w:val="003A23FC"/>
    <w:rsid w:val="003A2B9E"/>
    <w:rsid w:val="003A2E89"/>
    <w:rsid w:val="003A45D0"/>
    <w:rsid w:val="003A7514"/>
    <w:rsid w:val="003B02E0"/>
    <w:rsid w:val="003B225B"/>
    <w:rsid w:val="003B2A7B"/>
    <w:rsid w:val="003B34C2"/>
    <w:rsid w:val="003B72DA"/>
    <w:rsid w:val="003C3159"/>
    <w:rsid w:val="003C33CD"/>
    <w:rsid w:val="003C5415"/>
    <w:rsid w:val="003C658E"/>
    <w:rsid w:val="003C676D"/>
    <w:rsid w:val="003C7FF6"/>
    <w:rsid w:val="003D10A9"/>
    <w:rsid w:val="003D1DAB"/>
    <w:rsid w:val="003D2E73"/>
    <w:rsid w:val="003D54D8"/>
    <w:rsid w:val="003E0437"/>
    <w:rsid w:val="003E0691"/>
    <w:rsid w:val="003E18BF"/>
    <w:rsid w:val="003E18E3"/>
    <w:rsid w:val="003E31CD"/>
    <w:rsid w:val="003E3A65"/>
    <w:rsid w:val="003E3F40"/>
    <w:rsid w:val="003E4DFA"/>
    <w:rsid w:val="003E55F1"/>
    <w:rsid w:val="003F12F8"/>
    <w:rsid w:val="003F22B2"/>
    <w:rsid w:val="003F2358"/>
    <w:rsid w:val="003F2BA9"/>
    <w:rsid w:val="003F58AB"/>
    <w:rsid w:val="003F79D0"/>
    <w:rsid w:val="0040037E"/>
    <w:rsid w:val="004024D4"/>
    <w:rsid w:val="004025FB"/>
    <w:rsid w:val="00402E4C"/>
    <w:rsid w:val="00405363"/>
    <w:rsid w:val="00405C24"/>
    <w:rsid w:val="004127D0"/>
    <w:rsid w:val="00413153"/>
    <w:rsid w:val="00413C98"/>
    <w:rsid w:val="004146AD"/>
    <w:rsid w:val="00414D80"/>
    <w:rsid w:val="00420AC3"/>
    <w:rsid w:val="004219E0"/>
    <w:rsid w:val="00421AA0"/>
    <w:rsid w:val="00423356"/>
    <w:rsid w:val="00423CB5"/>
    <w:rsid w:val="004248A8"/>
    <w:rsid w:val="004253D9"/>
    <w:rsid w:val="00433CD7"/>
    <w:rsid w:val="0043409A"/>
    <w:rsid w:val="004343CD"/>
    <w:rsid w:val="0043608A"/>
    <w:rsid w:val="00443664"/>
    <w:rsid w:val="00444AB6"/>
    <w:rsid w:val="00445CC4"/>
    <w:rsid w:val="0044678D"/>
    <w:rsid w:val="004468C1"/>
    <w:rsid w:val="00446C92"/>
    <w:rsid w:val="00447BC1"/>
    <w:rsid w:val="004504AF"/>
    <w:rsid w:val="00450688"/>
    <w:rsid w:val="00452E4F"/>
    <w:rsid w:val="00455699"/>
    <w:rsid w:val="00455A45"/>
    <w:rsid w:val="004572B3"/>
    <w:rsid w:val="00462613"/>
    <w:rsid w:val="00466691"/>
    <w:rsid w:val="00466959"/>
    <w:rsid w:val="0047081D"/>
    <w:rsid w:val="00471AD5"/>
    <w:rsid w:val="004727A0"/>
    <w:rsid w:val="00473071"/>
    <w:rsid w:val="00473E03"/>
    <w:rsid w:val="00473E4D"/>
    <w:rsid w:val="0047500F"/>
    <w:rsid w:val="00475E6D"/>
    <w:rsid w:val="00476C92"/>
    <w:rsid w:val="00484B77"/>
    <w:rsid w:val="0048663A"/>
    <w:rsid w:val="004868E6"/>
    <w:rsid w:val="00486EB2"/>
    <w:rsid w:val="00490EF9"/>
    <w:rsid w:val="00494BD4"/>
    <w:rsid w:val="00495A81"/>
    <w:rsid w:val="004A0282"/>
    <w:rsid w:val="004A1A8D"/>
    <w:rsid w:val="004A2667"/>
    <w:rsid w:val="004A2E4C"/>
    <w:rsid w:val="004A35B2"/>
    <w:rsid w:val="004B0B5D"/>
    <w:rsid w:val="004B11FB"/>
    <w:rsid w:val="004B13A7"/>
    <w:rsid w:val="004B2A6C"/>
    <w:rsid w:val="004B59D0"/>
    <w:rsid w:val="004B6115"/>
    <w:rsid w:val="004B627C"/>
    <w:rsid w:val="004B65FC"/>
    <w:rsid w:val="004B72FA"/>
    <w:rsid w:val="004C00DE"/>
    <w:rsid w:val="004C025D"/>
    <w:rsid w:val="004C060A"/>
    <w:rsid w:val="004C0E16"/>
    <w:rsid w:val="004C23BE"/>
    <w:rsid w:val="004C277E"/>
    <w:rsid w:val="004C5D29"/>
    <w:rsid w:val="004C6B90"/>
    <w:rsid w:val="004D0381"/>
    <w:rsid w:val="004D3A24"/>
    <w:rsid w:val="004D3D49"/>
    <w:rsid w:val="004D3D90"/>
    <w:rsid w:val="004D4031"/>
    <w:rsid w:val="004D63DB"/>
    <w:rsid w:val="004D7088"/>
    <w:rsid w:val="004E0DA9"/>
    <w:rsid w:val="004E0DC2"/>
    <w:rsid w:val="004E366C"/>
    <w:rsid w:val="004E37C4"/>
    <w:rsid w:val="004E46D7"/>
    <w:rsid w:val="004E4718"/>
    <w:rsid w:val="004E50B0"/>
    <w:rsid w:val="004E725F"/>
    <w:rsid w:val="004E7287"/>
    <w:rsid w:val="004F14E6"/>
    <w:rsid w:val="004F35F2"/>
    <w:rsid w:val="004F3A2E"/>
    <w:rsid w:val="004F3E44"/>
    <w:rsid w:val="004F4B95"/>
    <w:rsid w:val="004F6DE3"/>
    <w:rsid w:val="004F6FF4"/>
    <w:rsid w:val="00501C28"/>
    <w:rsid w:val="0050207A"/>
    <w:rsid w:val="00502820"/>
    <w:rsid w:val="00502D8D"/>
    <w:rsid w:val="00504DEE"/>
    <w:rsid w:val="0050626D"/>
    <w:rsid w:val="00506978"/>
    <w:rsid w:val="00506B0B"/>
    <w:rsid w:val="00506CDA"/>
    <w:rsid w:val="0051124A"/>
    <w:rsid w:val="00513189"/>
    <w:rsid w:val="0051399D"/>
    <w:rsid w:val="005158CF"/>
    <w:rsid w:val="005176EA"/>
    <w:rsid w:val="00517DE2"/>
    <w:rsid w:val="005201C1"/>
    <w:rsid w:val="005208E1"/>
    <w:rsid w:val="0052473B"/>
    <w:rsid w:val="005252B3"/>
    <w:rsid w:val="00527F4B"/>
    <w:rsid w:val="00530449"/>
    <w:rsid w:val="00530A1F"/>
    <w:rsid w:val="0053121D"/>
    <w:rsid w:val="005322CB"/>
    <w:rsid w:val="00533AF4"/>
    <w:rsid w:val="00533B0F"/>
    <w:rsid w:val="00533EC5"/>
    <w:rsid w:val="005345B5"/>
    <w:rsid w:val="005360C4"/>
    <w:rsid w:val="0053618B"/>
    <w:rsid w:val="005362D8"/>
    <w:rsid w:val="00536C87"/>
    <w:rsid w:val="005401FC"/>
    <w:rsid w:val="00540D9F"/>
    <w:rsid w:val="00540FEC"/>
    <w:rsid w:val="005413A8"/>
    <w:rsid w:val="005418E1"/>
    <w:rsid w:val="00541FA7"/>
    <w:rsid w:val="00542059"/>
    <w:rsid w:val="00542208"/>
    <w:rsid w:val="00542518"/>
    <w:rsid w:val="00542590"/>
    <w:rsid w:val="00542E30"/>
    <w:rsid w:val="00542F37"/>
    <w:rsid w:val="00543B3A"/>
    <w:rsid w:val="00544681"/>
    <w:rsid w:val="00544BAA"/>
    <w:rsid w:val="005451C6"/>
    <w:rsid w:val="0054645C"/>
    <w:rsid w:val="00547031"/>
    <w:rsid w:val="00547C19"/>
    <w:rsid w:val="0055231A"/>
    <w:rsid w:val="00552F7C"/>
    <w:rsid w:val="00553C04"/>
    <w:rsid w:val="00554CEB"/>
    <w:rsid w:val="00555425"/>
    <w:rsid w:val="005569D7"/>
    <w:rsid w:val="005608F2"/>
    <w:rsid w:val="00560BCF"/>
    <w:rsid w:val="00561CA7"/>
    <w:rsid w:val="00562A7A"/>
    <w:rsid w:val="005664F3"/>
    <w:rsid w:val="00566CAF"/>
    <w:rsid w:val="005704EB"/>
    <w:rsid w:val="00570B84"/>
    <w:rsid w:val="005721E9"/>
    <w:rsid w:val="0057586E"/>
    <w:rsid w:val="005762F8"/>
    <w:rsid w:val="00577BF7"/>
    <w:rsid w:val="00577E0D"/>
    <w:rsid w:val="00580D34"/>
    <w:rsid w:val="00581BDA"/>
    <w:rsid w:val="00581BE2"/>
    <w:rsid w:val="00584F1B"/>
    <w:rsid w:val="00586FB5"/>
    <w:rsid w:val="005872EF"/>
    <w:rsid w:val="0059158D"/>
    <w:rsid w:val="0059256E"/>
    <w:rsid w:val="0059497C"/>
    <w:rsid w:val="00594E63"/>
    <w:rsid w:val="00596975"/>
    <w:rsid w:val="005A0B87"/>
    <w:rsid w:val="005A1413"/>
    <w:rsid w:val="005A16E0"/>
    <w:rsid w:val="005A2FE3"/>
    <w:rsid w:val="005A3437"/>
    <w:rsid w:val="005A422B"/>
    <w:rsid w:val="005A4907"/>
    <w:rsid w:val="005A4C11"/>
    <w:rsid w:val="005A5138"/>
    <w:rsid w:val="005A6A12"/>
    <w:rsid w:val="005B18CC"/>
    <w:rsid w:val="005B1AA3"/>
    <w:rsid w:val="005B222B"/>
    <w:rsid w:val="005B23ED"/>
    <w:rsid w:val="005B2F5E"/>
    <w:rsid w:val="005B31F7"/>
    <w:rsid w:val="005B321A"/>
    <w:rsid w:val="005B4C7F"/>
    <w:rsid w:val="005B639A"/>
    <w:rsid w:val="005B7F57"/>
    <w:rsid w:val="005C0572"/>
    <w:rsid w:val="005C1B5D"/>
    <w:rsid w:val="005C4C3D"/>
    <w:rsid w:val="005C6EE7"/>
    <w:rsid w:val="005D058B"/>
    <w:rsid w:val="005D0807"/>
    <w:rsid w:val="005D0980"/>
    <w:rsid w:val="005D3A54"/>
    <w:rsid w:val="005D4234"/>
    <w:rsid w:val="005D6A8B"/>
    <w:rsid w:val="005E0F71"/>
    <w:rsid w:val="005E176D"/>
    <w:rsid w:val="005E29E0"/>
    <w:rsid w:val="005E2BE5"/>
    <w:rsid w:val="005E2C3F"/>
    <w:rsid w:val="005E3097"/>
    <w:rsid w:val="005E327F"/>
    <w:rsid w:val="005E328A"/>
    <w:rsid w:val="005E4A83"/>
    <w:rsid w:val="005E7697"/>
    <w:rsid w:val="005F0149"/>
    <w:rsid w:val="005F142E"/>
    <w:rsid w:val="005F2DB4"/>
    <w:rsid w:val="005F40DC"/>
    <w:rsid w:val="005F5B51"/>
    <w:rsid w:val="005F6823"/>
    <w:rsid w:val="005F7134"/>
    <w:rsid w:val="0060046B"/>
    <w:rsid w:val="00602B26"/>
    <w:rsid w:val="00603612"/>
    <w:rsid w:val="006038BD"/>
    <w:rsid w:val="00605680"/>
    <w:rsid w:val="00611BC4"/>
    <w:rsid w:val="00614033"/>
    <w:rsid w:val="00614790"/>
    <w:rsid w:val="00614D96"/>
    <w:rsid w:val="006165A6"/>
    <w:rsid w:val="00616D50"/>
    <w:rsid w:val="00620870"/>
    <w:rsid w:val="006220A3"/>
    <w:rsid w:val="006222B9"/>
    <w:rsid w:val="006224E5"/>
    <w:rsid w:val="00623991"/>
    <w:rsid w:val="00627CAA"/>
    <w:rsid w:val="0063355E"/>
    <w:rsid w:val="00636DEE"/>
    <w:rsid w:val="0064048C"/>
    <w:rsid w:val="00640A07"/>
    <w:rsid w:val="00640F66"/>
    <w:rsid w:val="006410DD"/>
    <w:rsid w:val="006441B8"/>
    <w:rsid w:val="00646812"/>
    <w:rsid w:val="006472E2"/>
    <w:rsid w:val="006510DF"/>
    <w:rsid w:val="006521FB"/>
    <w:rsid w:val="0065372C"/>
    <w:rsid w:val="00653A72"/>
    <w:rsid w:val="00654183"/>
    <w:rsid w:val="00654B45"/>
    <w:rsid w:val="00654FB2"/>
    <w:rsid w:val="006551AC"/>
    <w:rsid w:val="00655997"/>
    <w:rsid w:val="00656C5D"/>
    <w:rsid w:val="00657406"/>
    <w:rsid w:val="0066184E"/>
    <w:rsid w:val="00662B88"/>
    <w:rsid w:val="00665D93"/>
    <w:rsid w:val="00667F8E"/>
    <w:rsid w:val="00670EDC"/>
    <w:rsid w:val="00671E4D"/>
    <w:rsid w:val="00672178"/>
    <w:rsid w:val="006721D9"/>
    <w:rsid w:val="00674A8A"/>
    <w:rsid w:val="00674EE0"/>
    <w:rsid w:val="00675FFA"/>
    <w:rsid w:val="006807FE"/>
    <w:rsid w:val="00680F15"/>
    <w:rsid w:val="006819EC"/>
    <w:rsid w:val="0068718A"/>
    <w:rsid w:val="00691035"/>
    <w:rsid w:val="0069180C"/>
    <w:rsid w:val="00691AAC"/>
    <w:rsid w:val="00693C49"/>
    <w:rsid w:val="006949BA"/>
    <w:rsid w:val="00696267"/>
    <w:rsid w:val="006978A1"/>
    <w:rsid w:val="006A0910"/>
    <w:rsid w:val="006A1BA7"/>
    <w:rsid w:val="006A1ED8"/>
    <w:rsid w:val="006A1F45"/>
    <w:rsid w:val="006A48D4"/>
    <w:rsid w:val="006A61BA"/>
    <w:rsid w:val="006A7592"/>
    <w:rsid w:val="006A7BA0"/>
    <w:rsid w:val="006B06F0"/>
    <w:rsid w:val="006B4C90"/>
    <w:rsid w:val="006B6143"/>
    <w:rsid w:val="006B7439"/>
    <w:rsid w:val="006C01B0"/>
    <w:rsid w:val="006C1676"/>
    <w:rsid w:val="006C18D7"/>
    <w:rsid w:val="006C2130"/>
    <w:rsid w:val="006C2945"/>
    <w:rsid w:val="006C4E26"/>
    <w:rsid w:val="006C4ECA"/>
    <w:rsid w:val="006C50FF"/>
    <w:rsid w:val="006D1968"/>
    <w:rsid w:val="006D19DC"/>
    <w:rsid w:val="006D45BA"/>
    <w:rsid w:val="006D6F9D"/>
    <w:rsid w:val="006D73BF"/>
    <w:rsid w:val="006D7441"/>
    <w:rsid w:val="006E1600"/>
    <w:rsid w:val="006E280A"/>
    <w:rsid w:val="006E2DEC"/>
    <w:rsid w:val="006E31E7"/>
    <w:rsid w:val="006E3997"/>
    <w:rsid w:val="006E612E"/>
    <w:rsid w:val="006E6174"/>
    <w:rsid w:val="006F124B"/>
    <w:rsid w:val="006F1C04"/>
    <w:rsid w:val="006F4B59"/>
    <w:rsid w:val="006F4C91"/>
    <w:rsid w:val="007000E9"/>
    <w:rsid w:val="00700AE0"/>
    <w:rsid w:val="00700D17"/>
    <w:rsid w:val="00700DEB"/>
    <w:rsid w:val="00703388"/>
    <w:rsid w:val="00703E30"/>
    <w:rsid w:val="00703FB2"/>
    <w:rsid w:val="007051A8"/>
    <w:rsid w:val="00705CA7"/>
    <w:rsid w:val="00706F19"/>
    <w:rsid w:val="00707DE5"/>
    <w:rsid w:val="0071028D"/>
    <w:rsid w:val="00710F9E"/>
    <w:rsid w:val="00714545"/>
    <w:rsid w:val="0071621F"/>
    <w:rsid w:val="007203E2"/>
    <w:rsid w:val="00722610"/>
    <w:rsid w:val="00722633"/>
    <w:rsid w:val="00722651"/>
    <w:rsid w:val="00722B91"/>
    <w:rsid w:val="007234ED"/>
    <w:rsid w:val="00723955"/>
    <w:rsid w:val="0072490D"/>
    <w:rsid w:val="00726CF0"/>
    <w:rsid w:val="007276E5"/>
    <w:rsid w:val="00730378"/>
    <w:rsid w:val="0073059C"/>
    <w:rsid w:val="00733021"/>
    <w:rsid w:val="0073341D"/>
    <w:rsid w:val="0073383E"/>
    <w:rsid w:val="00735222"/>
    <w:rsid w:val="00737167"/>
    <w:rsid w:val="0074044F"/>
    <w:rsid w:val="007408A6"/>
    <w:rsid w:val="007421B7"/>
    <w:rsid w:val="00742589"/>
    <w:rsid w:val="007428AB"/>
    <w:rsid w:val="00742E74"/>
    <w:rsid w:val="007434C3"/>
    <w:rsid w:val="007459AE"/>
    <w:rsid w:val="0074740D"/>
    <w:rsid w:val="0074751C"/>
    <w:rsid w:val="00750FD7"/>
    <w:rsid w:val="00751C99"/>
    <w:rsid w:val="00751CE5"/>
    <w:rsid w:val="00753AD7"/>
    <w:rsid w:val="00755F64"/>
    <w:rsid w:val="00755F6F"/>
    <w:rsid w:val="007603A9"/>
    <w:rsid w:val="00761D69"/>
    <w:rsid w:val="00764997"/>
    <w:rsid w:val="00765576"/>
    <w:rsid w:val="00766A85"/>
    <w:rsid w:val="007701C6"/>
    <w:rsid w:val="00771A02"/>
    <w:rsid w:val="00773B7B"/>
    <w:rsid w:val="00773E52"/>
    <w:rsid w:val="007740CE"/>
    <w:rsid w:val="007775BF"/>
    <w:rsid w:val="0077798C"/>
    <w:rsid w:val="00780366"/>
    <w:rsid w:val="0078186B"/>
    <w:rsid w:val="00782453"/>
    <w:rsid w:val="007837F8"/>
    <w:rsid w:val="007848AF"/>
    <w:rsid w:val="0078626C"/>
    <w:rsid w:val="007905DF"/>
    <w:rsid w:val="00790B69"/>
    <w:rsid w:val="007957CA"/>
    <w:rsid w:val="007A1A49"/>
    <w:rsid w:val="007A21C4"/>
    <w:rsid w:val="007A2929"/>
    <w:rsid w:val="007A31F8"/>
    <w:rsid w:val="007A455A"/>
    <w:rsid w:val="007A4927"/>
    <w:rsid w:val="007A5146"/>
    <w:rsid w:val="007A6A1C"/>
    <w:rsid w:val="007A6DBF"/>
    <w:rsid w:val="007B1BEC"/>
    <w:rsid w:val="007B1FDA"/>
    <w:rsid w:val="007B288B"/>
    <w:rsid w:val="007B3678"/>
    <w:rsid w:val="007B3E03"/>
    <w:rsid w:val="007B4133"/>
    <w:rsid w:val="007B55E4"/>
    <w:rsid w:val="007C0E03"/>
    <w:rsid w:val="007C1756"/>
    <w:rsid w:val="007C35E3"/>
    <w:rsid w:val="007C4185"/>
    <w:rsid w:val="007C4D2F"/>
    <w:rsid w:val="007C704D"/>
    <w:rsid w:val="007D0013"/>
    <w:rsid w:val="007D1E31"/>
    <w:rsid w:val="007D2F7F"/>
    <w:rsid w:val="007D3F02"/>
    <w:rsid w:val="007D4492"/>
    <w:rsid w:val="007D462E"/>
    <w:rsid w:val="007D7A1A"/>
    <w:rsid w:val="007E0BCF"/>
    <w:rsid w:val="007E1E52"/>
    <w:rsid w:val="007E1F3F"/>
    <w:rsid w:val="007E2003"/>
    <w:rsid w:val="007E20F1"/>
    <w:rsid w:val="007E2105"/>
    <w:rsid w:val="007E321C"/>
    <w:rsid w:val="007E51AA"/>
    <w:rsid w:val="007E65AD"/>
    <w:rsid w:val="007E6E46"/>
    <w:rsid w:val="007F1319"/>
    <w:rsid w:val="007F2201"/>
    <w:rsid w:val="007F2930"/>
    <w:rsid w:val="007F3E20"/>
    <w:rsid w:val="007F4055"/>
    <w:rsid w:val="007F42B0"/>
    <w:rsid w:val="007F5276"/>
    <w:rsid w:val="007F704A"/>
    <w:rsid w:val="007F72A3"/>
    <w:rsid w:val="008036A5"/>
    <w:rsid w:val="00803BF2"/>
    <w:rsid w:val="00803FB9"/>
    <w:rsid w:val="00805441"/>
    <w:rsid w:val="00805548"/>
    <w:rsid w:val="00805E54"/>
    <w:rsid w:val="0080665A"/>
    <w:rsid w:val="008066D4"/>
    <w:rsid w:val="008074F8"/>
    <w:rsid w:val="00807A69"/>
    <w:rsid w:val="00810B06"/>
    <w:rsid w:val="00812C60"/>
    <w:rsid w:val="00812F5E"/>
    <w:rsid w:val="008157A4"/>
    <w:rsid w:val="0081584C"/>
    <w:rsid w:val="00815C54"/>
    <w:rsid w:val="00816D44"/>
    <w:rsid w:val="008201FF"/>
    <w:rsid w:val="00820B72"/>
    <w:rsid w:val="008216EA"/>
    <w:rsid w:val="00822D9E"/>
    <w:rsid w:val="00823E16"/>
    <w:rsid w:val="00824624"/>
    <w:rsid w:val="0082724A"/>
    <w:rsid w:val="008279CD"/>
    <w:rsid w:val="0083048B"/>
    <w:rsid w:val="0083194A"/>
    <w:rsid w:val="00831C99"/>
    <w:rsid w:val="00833675"/>
    <w:rsid w:val="00834E94"/>
    <w:rsid w:val="00835012"/>
    <w:rsid w:val="00835513"/>
    <w:rsid w:val="0083579A"/>
    <w:rsid w:val="00837F6B"/>
    <w:rsid w:val="0084103E"/>
    <w:rsid w:val="00842199"/>
    <w:rsid w:val="00845CDA"/>
    <w:rsid w:val="00846637"/>
    <w:rsid w:val="0084741B"/>
    <w:rsid w:val="00847EE4"/>
    <w:rsid w:val="00850061"/>
    <w:rsid w:val="00851361"/>
    <w:rsid w:val="00851F82"/>
    <w:rsid w:val="00853B98"/>
    <w:rsid w:val="008563D8"/>
    <w:rsid w:val="00856CD1"/>
    <w:rsid w:val="008572D4"/>
    <w:rsid w:val="00857A13"/>
    <w:rsid w:val="008612F5"/>
    <w:rsid w:val="0086297F"/>
    <w:rsid w:val="00862EBB"/>
    <w:rsid w:val="00863C09"/>
    <w:rsid w:val="0086446B"/>
    <w:rsid w:val="00867A17"/>
    <w:rsid w:val="00870F3A"/>
    <w:rsid w:val="008713B7"/>
    <w:rsid w:val="008721AC"/>
    <w:rsid w:val="00872EDC"/>
    <w:rsid w:val="00872F0A"/>
    <w:rsid w:val="00873447"/>
    <w:rsid w:val="0087377D"/>
    <w:rsid w:val="00874685"/>
    <w:rsid w:val="00874872"/>
    <w:rsid w:val="0087497E"/>
    <w:rsid w:val="00877108"/>
    <w:rsid w:val="00880E23"/>
    <w:rsid w:val="00881A67"/>
    <w:rsid w:val="00881D39"/>
    <w:rsid w:val="008844F1"/>
    <w:rsid w:val="008903C1"/>
    <w:rsid w:val="0089144C"/>
    <w:rsid w:val="00891BB2"/>
    <w:rsid w:val="008920C1"/>
    <w:rsid w:val="008924B9"/>
    <w:rsid w:val="008926F1"/>
    <w:rsid w:val="00892859"/>
    <w:rsid w:val="00897A7B"/>
    <w:rsid w:val="008A0E75"/>
    <w:rsid w:val="008A1680"/>
    <w:rsid w:val="008A19A3"/>
    <w:rsid w:val="008A4EA1"/>
    <w:rsid w:val="008A5E84"/>
    <w:rsid w:val="008A61D0"/>
    <w:rsid w:val="008A6973"/>
    <w:rsid w:val="008A6DAA"/>
    <w:rsid w:val="008A7192"/>
    <w:rsid w:val="008B29D7"/>
    <w:rsid w:val="008B2B57"/>
    <w:rsid w:val="008B34A1"/>
    <w:rsid w:val="008B5DB2"/>
    <w:rsid w:val="008B6639"/>
    <w:rsid w:val="008C158A"/>
    <w:rsid w:val="008C2228"/>
    <w:rsid w:val="008C4065"/>
    <w:rsid w:val="008C536D"/>
    <w:rsid w:val="008C56BF"/>
    <w:rsid w:val="008C60F6"/>
    <w:rsid w:val="008C6463"/>
    <w:rsid w:val="008C72E4"/>
    <w:rsid w:val="008C78DF"/>
    <w:rsid w:val="008D18FB"/>
    <w:rsid w:val="008D2620"/>
    <w:rsid w:val="008D572D"/>
    <w:rsid w:val="008D7489"/>
    <w:rsid w:val="008E080A"/>
    <w:rsid w:val="008E4898"/>
    <w:rsid w:val="008E4EA3"/>
    <w:rsid w:val="008E59C5"/>
    <w:rsid w:val="008E750C"/>
    <w:rsid w:val="008F12BA"/>
    <w:rsid w:val="008F26EE"/>
    <w:rsid w:val="008F29ED"/>
    <w:rsid w:val="008F30AE"/>
    <w:rsid w:val="008F4B2A"/>
    <w:rsid w:val="008F575D"/>
    <w:rsid w:val="008F6D9B"/>
    <w:rsid w:val="00902109"/>
    <w:rsid w:val="00903712"/>
    <w:rsid w:val="0090400F"/>
    <w:rsid w:val="009054B5"/>
    <w:rsid w:val="00907FD0"/>
    <w:rsid w:val="00911B6C"/>
    <w:rsid w:val="0091271F"/>
    <w:rsid w:val="00915140"/>
    <w:rsid w:val="00915ED6"/>
    <w:rsid w:val="00916DD6"/>
    <w:rsid w:val="00917EFD"/>
    <w:rsid w:val="00917FCA"/>
    <w:rsid w:val="009200DF"/>
    <w:rsid w:val="00921AB4"/>
    <w:rsid w:val="00921FC2"/>
    <w:rsid w:val="00922957"/>
    <w:rsid w:val="00923604"/>
    <w:rsid w:val="00923E27"/>
    <w:rsid w:val="0092494C"/>
    <w:rsid w:val="00925296"/>
    <w:rsid w:val="0093025E"/>
    <w:rsid w:val="00930A9B"/>
    <w:rsid w:val="009310AF"/>
    <w:rsid w:val="009337DE"/>
    <w:rsid w:val="00933841"/>
    <w:rsid w:val="0093389B"/>
    <w:rsid w:val="00935752"/>
    <w:rsid w:val="00937D25"/>
    <w:rsid w:val="009427F3"/>
    <w:rsid w:val="00942CF3"/>
    <w:rsid w:val="009444A2"/>
    <w:rsid w:val="00944A15"/>
    <w:rsid w:val="00944C9A"/>
    <w:rsid w:val="00945D1D"/>
    <w:rsid w:val="00946F16"/>
    <w:rsid w:val="00950111"/>
    <w:rsid w:val="00950784"/>
    <w:rsid w:val="0095259A"/>
    <w:rsid w:val="0095300F"/>
    <w:rsid w:val="00953D00"/>
    <w:rsid w:val="00954269"/>
    <w:rsid w:val="00954384"/>
    <w:rsid w:val="0095659F"/>
    <w:rsid w:val="00964381"/>
    <w:rsid w:val="009677C9"/>
    <w:rsid w:val="00967FD0"/>
    <w:rsid w:val="0097039F"/>
    <w:rsid w:val="0097065D"/>
    <w:rsid w:val="00970AB7"/>
    <w:rsid w:val="00971CD4"/>
    <w:rsid w:val="0097387B"/>
    <w:rsid w:val="00980228"/>
    <w:rsid w:val="00980E0C"/>
    <w:rsid w:val="00981564"/>
    <w:rsid w:val="00983765"/>
    <w:rsid w:val="0098377B"/>
    <w:rsid w:val="00984A66"/>
    <w:rsid w:val="00985008"/>
    <w:rsid w:val="00991010"/>
    <w:rsid w:val="00991AB8"/>
    <w:rsid w:val="0099298B"/>
    <w:rsid w:val="009937EF"/>
    <w:rsid w:val="009952C0"/>
    <w:rsid w:val="0099705C"/>
    <w:rsid w:val="009A0011"/>
    <w:rsid w:val="009A0B69"/>
    <w:rsid w:val="009A265F"/>
    <w:rsid w:val="009A64B5"/>
    <w:rsid w:val="009A68DE"/>
    <w:rsid w:val="009A78DD"/>
    <w:rsid w:val="009B31BF"/>
    <w:rsid w:val="009B7D78"/>
    <w:rsid w:val="009C0423"/>
    <w:rsid w:val="009C0987"/>
    <w:rsid w:val="009C1763"/>
    <w:rsid w:val="009C1B8F"/>
    <w:rsid w:val="009C1DE5"/>
    <w:rsid w:val="009C46D6"/>
    <w:rsid w:val="009C4A7D"/>
    <w:rsid w:val="009C4B16"/>
    <w:rsid w:val="009C5AE1"/>
    <w:rsid w:val="009C7D57"/>
    <w:rsid w:val="009D08F3"/>
    <w:rsid w:val="009D1CD7"/>
    <w:rsid w:val="009D42B5"/>
    <w:rsid w:val="009D54DA"/>
    <w:rsid w:val="009D616E"/>
    <w:rsid w:val="009D743C"/>
    <w:rsid w:val="009D7ED1"/>
    <w:rsid w:val="009E0CD5"/>
    <w:rsid w:val="009E0E7A"/>
    <w:rsid w:val="009E1AB5"/>
    <w:rsid w:val="009E1F61"/>
    <w:rsid w:val="009E1FB9"/>
    <w:rsid w:val="009E26F8"/>
    <w:rsid w:val="009E34F6"/>
    <w:rsid w:val="009E3899"/>
    <w:rsid w:val="009E38DE"/>
    <w:rsid w:val="009E46B4"/>
    <w:rsid w:val="009E515E"/>
    <w:rsid w:val="009E54BF"/>
    <w:rsid w:val="009E6DF3"/>
    <w:rsid w:val="009E7C91"/>
    <w:rsid w:val="009F044A"/>
    <w:rsid w:val="009F155E"/>
    <w:rsid w:val="009F1A6C"/>
    <w:rsid w:val="009F26C2"/>
    <w:rsid w:val="009F3C19"/>
    <w:rsid w:val="009F4003"/>
    <w:rsid w:val="009F63FB"/>
    <w:rsid w:val="00A00A59"/>
    <w:rsid w:val="00A022E3"/>
    <w:rsid w:val="00A03CAF"/>
    <w:rsid w:val="00A04938"/>
    <w:rsid w:val="00A0546B"/>
    <w:rsid w:val="00A05616"/>
    <w:rsid w:val="00A058B3"/>
    <w:rsid w:val="00A05A16"/>
    <w:rsid w:val="00A05CAB"/>
    <w:rsid w:val="00A06072"/>
    <w:rsid w:val="00A060AC"/>
    <w:rsid w:val="00A101C5"/>
    <w:rsid w:val="00A15738"/>
    <w:rsid w:val="00A239A9"/>
    <w:rsid w:val="00A2516A"/>
    <w:rsid w:val="00A252AE"/>
    <w:rsid w:val="00A30110"/>
    <w:rsid w:val="00A304DD"/>
    <w:rsid w:val="00A30A4C"/>
    <w:rsid w:val="00A30C3B"/>
    <w:rsid w:val="00A31080"/>
    <w:rsid w:val="00A325E7"/>
    <w:rsid w:val="00A3422B"/>
    <w:rsid w:val="00A3544D"/>
    <w:rsid w:val="00A3691F"/>
    <w:rsid w:val="00A4103E"/>
    <w:rsid w:val="00A42008"/>
    <w:rsid w:val="00A4272D"/>
    <w:rsid w:val="00A4343E"/>
    <w:rsid w:val="00A43A3F"/>
    <w:rsid w:val="00A44306"/>
    <w:rsid w:val="00A503E2"/>
    <w:rsid w:val="00A506BC"/>
    <w:rsid w:val="00A50A86"/>
    <w:rsid w:val="00A550E3"/>
    <w:rsid w:val="00A6043E"/>
    <w:rsid w:val="00A62029"/>
    <w:rsid w:val="00A6246D"/>
    <w:rsid w:val="00A632A1"/>
    <w:rsid w:val="00A63C3E"/>
    <w:rsid w:val="00A65299"/>
    <w:rsid w:val="00A652F0"/>
    <w:rsid w:val="00A6721A"/>
    <w:rsid w:val="00A67961"/>
    <w:rsid w:val="00A70943"/>
    <w:rsid w:val="00A72515"/>
    <w:rsid w:val="00A74F9E"/>
    <w:rsid w:val="00A75062"/>
    <w:rsid w:val="00A756A2"/>
    <w:rsid w:val="00A80F59"/>
    <w:rsid w:val="00A81BFC"/>
    <w:rsid w:val="00A83FD9"/>
    <w:rsid w:val="00A9227E"/>
    <w:rsid w:val="00A94824"/>
    <w:rsid w:val="00A94EBB"/>
    <w:rsid w:val="00A955AC"/>
    <w:rsid w:val="00AA0131"/>
    <w:rsid w:val="00AA07E1"/>
    <w:rsid w:val="00AA2C60"/>
    <w:rsid w:val="00AA4747"/>
    <w:rsid w:val="00AA66E6"/>
    <w:rsid w:val="00AB08CE"/>
    <w:rsid w:val="00AB2643"/>
    <w:rsid w:val="00AB2CFC"/>
    <w:rsid w:val="00AB2EB1"/>
    <w:rsid w:val="00AB423F"/>
    <w:rsid w:val="00AB544D"/>
    <w:rsid w:val="00AB590E"/>
    <w:rsid w:val="00AB6525"/>
    <w:rsid w:val="00AB6784"/>
    <w:rsid w:val="00AB7565"/>
    <w:rsid w:val="00AC0011"/>
    <w:rsid w:val="00AC29AE"/>
    <w:rsid w:val="00AC395D"/>
    <w:rsid w:val="00AC49CF"/>
    <w:rsid w:val="00AC542C"/>
    <w:rsid w:val="00AC5F10"/>
    <w:rsid w:val="00AC7AA0"/>
    <w:rsid w:val="00AD0421"/>
    <w:rsid w:val="00AD13B3"/>
    <w:rsid w:val="00AD2990"/>
    <w:rsid w:val="00AD4370"/>
    <w:rsid w:val="00AD5900"/>
    <w:rsid w:val="00AD659A"/>
    <w:rsid w:val="00AE0A3A"/>
    <w:rsid w:val="00AE0B5F"/>
    <w:rsid w:val="00AE12FB"/>
    <w:rsid w:val="00AE2780"/>
    <w:rsid w:val="00AE292F"/>
    <w:rsid w:val="00AE3DCF"/>
    <w:rsid w:val="00AE4361"/>
    <w:rsid w:val="00AE7093"/>
    <w:rsid w:val="00AF100A"/>
    <w:rsid w:val="00AF53B9"/>
    <w:rsid w:val="00AF58D8"/>
    <w:rsid w:val="00AF5B94"/>
    <w:rsid w:val="00AF6819"/>
    <w:rsid w:val="00AF74D3"/>
    <w:rsid w:val="00B0100A"/>
    <w:rsid w:val="00B017FF"/>
    <w:rsid w:val="00B02340"/>
    <w:rsid w:val="00B02FA6"/>
    <w:rsid w:val="00B06632"/>
    <w:rsid w:val="00B07B4A"/>
    <w:rsid w:val="00B10C7F"/>
    <w:rsid w:val="00B10FE4"/>
    <w:rsid w:val="00B11300"/>
    <w:rsid w:val="00B1280F"/>
    <w:rsid w:val="00B12890"/>
    <w:rsid w:val="00B12DDD"/>
    <w:rsid w:val="00B1345E"/>
    <w:rsid w:val="00B13F3F"/>
    <w:rsid w:val="00B15067"/>
    <w:rsid w:val="00B17094"/>
    <w:rsid w:val="00B17285"/>
    <w:rsid w:val="00B20016"/>
    <w:rsid w:val="00B20237"/>
    <w:rsid w:val="00B20A42"/>
    <w:rsid w:val="00B20C02"/>
    <w:rsid w:val="00B20FC6"/>
    <w:rsid w:val="00B239CB"/>
    <w:rsid w:val="00B25BF4"/>
    <w:rsid w:val="00B27206"/>
    <w:rsid w:val="00B276F9"/>
    <w:rsid w:val="00B279EE"/>
    <w:rsid w:val="00B30664"/>
    <w:rsid w:val="00B33EB9"/>
    <w:rsid w:val="00B34C1E"/>
    <w:rsid w:val="00B34D44"/>
    <w:rsid w:val="00B34F1C"/>
    <w:rsid w:val="00B3561C"/>
    <w:rsid w:val="00B40028"/>
    <w:rsid w:val="00B40A28"/>
    <w:rsid w:val="00B414C5"/>
    <w:rsid w:val="00B417A3"/>
    <w:rsid w:val="00B42CCB"/>
    <w:rsid w:val="00B44EC1"/>
    <w:rsid w:val="00B45A17"/>
    <w:rsid w:val="00B46472"/>
    <w:rsid w:val="00B4723B"/>
    <w:rsid w:val="00B4737A"/>
    <w:rsid w:val="00B474E0"/>
    <w:rsid w:val="00B50702"/>
    <w:rsid w:val="00B50758"/>
    <w:rsid w:val="00B51C87"/>
    <w:rsid w:val="00B53A48"/>
    <w:rsid w:val="00B55427"/>
    <w:rsid w:val="00B562E5"/>
    <w:rsid w:val="00B56FFC"/>
    <w:rsid w:val="00B57FC0"/>
    <w:rsid w:val="00B60150"/>
    <w:rsid w:val="00B609F2"/>
    <w:rsid w:val="00B62C1B"/>
    <w:rsid w:val="00B62ED8"/>
    <w:rsid w:val="00B62EFF"/>
    <w:rsid w:val="00B64F85"/>
    <w:rsid w:val="00B67645"/>
    <w:rsid w:val="00B704AF"/>
    <w:rsid w:val="00B70702"/>
    <w:rsid w:val="00B71B40"/>
    <w:rsid w:val="00B7323A"/>
    <w:rsid w:val="00B744CF"/>
    <w:rsid w:val="00B74580"/>
    <w:rsid w:val="00B7604F"/>
    <w:rsid w:val="00B76949"/>
    <w:rsid w:val="00B7697F"/>
    <w:rsid w:val="00B76AE1"/>
    <w:rsid w:val="00B774B3"/>
    <w:rsid w:val="00B84014"/>
    <w:rsid w:val="00B9201A"/>
    <w:rsid w:val="00B922CC"/>
    <w:rsid w:val="00B940D4"/>
    <w:rsid w:val="00B94785"/>
    <w:rsid w:val="00B95326"/>
    <w:rsid w:val="00B9573E"/>
    <w:rsid w:val="00BA28B4"/>
    <w:rsid w:val="00BA3586"/>
    <w:rsid w:val="00BA551C"/>
    <w:rsid w:val="00BA5729"/>
    <w:rsid w:val="00BA5C9F"/>
    <w:rsid w:val="00BA6D44"/>
    <w:rsid w:val="00BA6E34"/>
    <w:rsid w:val="00BA7F49"/>
    <w:rsid w:val="00BB01DC"/>
    <w:rsid w:val="00BB05C8"/>
    <w:rsid w:val="00BB35EC"/>
    <w:rsid w:val="00BB4D00"/>
    <w:rsid w:val="00BB4FE9"/>
    <w:rsid w:val="00BB5326"/>
    <w:rsid w:val="00BB6EBC"/>
    <w:rsid w:val="00BB7747"/>
    <w:rsid w:val="00BC0EAB"/>
    <w:rsid w:val="00BC1F5A"/>
    <w:rsid w:val="00BC2CD2"/>
    <w:rsid w:val="00BC3ED7"/>
    <w:rsid w:val="00BC7E6C"/>
    <w:rsid w:val="00BD2BBF"/>
    <w:rsid w:val="00BD3EC8"/>
    <w:rsid w:val="00BD4632"/>
    <w:rsid w:val="00BD569A"/>
    <w:rsid w:val="00BD603E"/>
    <w:rsid w:val="00BD6F24"/>
    <w:rsid w:val="00BE0011"/>
    <w:rsid w:val="00BE1CFC"/>
    <w:rsid w:val="00BE2589"/>
    <w:rsid w:val="00BE2DFA"/>
    <w:rsid w:val="00BE3AE9"/>
    <w:rsid w:val="00BE3CB7"/>
    <w:rsid w:val="00BE4113"/>
    <w:rsid w:val="00BE4B18"/>
    <w:rsid w:val="00BE60C5"/>
    <w:rsid w:val="00BE644D"/>
    <w:rsid w:val="00BE72C3"/>
    <w:rsid w:val="00BF0913"/>
    <w:rsid w:val="00BF0EC2"/>
    <w:rsid w:val="00BF26A2"/>
    <w:rsid w:val="00BF5207"/>
    <w:rsid w:val="00BF6939"/>
    <w:rsid w:val="00BF6D5F"/>
    <w:rsid w:val="00BF6F84"/>
    <w:rsid w:val="00BF7AB8"/>
    <w:rsid w:val="00BF7D81"/>
    <w:rsid w:val="00C00B51"/>
    <w:rsid w:val="00C02736"/>
    <w:rsid w:val="00C028F4"/>
    <w:rsid w:val="00C03C37"/>
    <w:rsid w:val="00C03D63"/>
    <w:rsid w:val="00C06AD2"/>
    <w:rsid w:val="00C12322"/>
    <w:rsid w:val="00C130DB"/>
    <w:rsid w:val="00C132E1"/>
    <w:rsid w:val="00C1520E"/>
    <w:rsid w:val="00C15655"/>
    <w:rsid w:val="00C15DBA"/>
    <w:rsid w:val="00C170FA"/>
    <w:rsid w:val="00C20A5A"/>
    <w:rsid w:val="00C273D8"/>
    <w:rsid w:val="00C32841"/>
    <w:rsid w:val="00C32879"/>
    <w:rsid w:val="00C3424A"/>
    <w:rsid w:val="00C35805"/>
    <w:rsid w:val="00C42428"/>
    <w:rsid w:val="00C44141"/>
    <w:rsid w:val="00C45203"/>
    <w:rsid w:val="00C458F4"/>
    <w:rsid w:val="00C45D3B"/>
    <w:rsid w:val="00C469FF"/>
    <w:rsid w:val="00C4722E"/>
    <w:rsid w:val="00C478CA"/>
    <w:rsid w:val="00C5235B"/>
    <w:rsid w:val="00C52489"/>
    <w:rsid w:val="00C5361D"/>
    <w:rsid w:val="00C53EE8"/>
    <w:rsid w:val="00C5429B"/>
    <w:rsid w:val="00C5718E"/>
    <w:rsid w:val="00C57DD8"/>
    <w:rsid w:val="00C6169C"/>
    <w:rsid w:val="00C65055"/>
    <w:rsid w:val="00C66A04"/>
    <w:rsid w:val="00C705FD"/>
    <w:rsid w:val="00C709BA"/>
    <w:rsid w:val="00C73880"/>
    <w:rsid w:val="00C7484E"/>
    <w:rsid w:val="00C758A2"/>
    <w:rsid w:val="00C83043"/>
    <w:rsid w:val="00C83407"/>
    <w:rsid w:val="00C83741"/>
    <w:rsid w:val="00C83AA0"/>
    <w:rsid w:val="00C83CF4"/>
    <w:rsid w:val="00C83F62"/>
    <w:rsid w:val="00C84C4E"/>
    <w:rsid w:val="00C86DCC"/>
    <w:rsid w:val="00C91B42"/>
    <w:rsid w:val="00C93090"/>
    <w:rsid w:val="00C957BE"/>
    <w:rsid w:val="00C963EB"/>
    <w:rsid w:val="00C968E7"/>
    <w:rsid w:val="00C96DC9"/>
    <w:rsid w:val="00C97971"/>
    <w:rsid w:val="00C97E24"/>
    <w:rsid w:val="00C97E33"/>
    <w:rsid w:val="00CA0520"/>
    <w:rsid w:val="00CA195D"/>
    <w:rsid w:val="00CA1F2C"/>
    <w:rsid w:val="00CA2D47"/>
    <w:rsid w:val="00CA333A"/>
    <w:rsid w:val="00CA6A75"/>
    <w:rsid w:val="00CA7044"/>
    <w:rsid w:val="00CA70F4"/>
    <w:rsid w:val="00CB0199"/>
    <w:rsid w:val="00CB1D64"/>
    <w:rsid w:val="00CB2A59"/>
    <w:rsid w:val="00CB55A7"/>
    <w:rsid w:val="00CB5E77"/>
    <w:rsid w:val="00CC4161"/>
    <w:rsid w:val="00CC4DD7"/>
    <w:rsid w:val="00CC5C76"/>
    <w:rsid w:val="00CC7840"/>
    <w:rsid w:val="00CD1437"/>
    <w:rsid w:val="00CD19F1"/>
    <w:rsid w:val="00CD2294"/>
    <w:rsid w:val="00CD2D88"/>
    <w:rsid w:val="00CD42DC"/>
    <w:rsid w:val="00CD51F1"/>
    <w:rsid w:val="00CD5757"/>
    <w:rsid w:val="00CD600E"/>
    <w:rsid w:val="00CE2976"/>
    <w:rsid w:val="00CE2BAB"/>
    <w:rsid w:val="00CE4085"/>
    <w:rsid w:val="00CE56DB"/>
    <w:rsid w:val="00CE5E69"/>
    <w:rsid w:val="00CE6942"/>
    <w:rsid w:val="00CF15AA"/>
    <w:rsid w:val="00CF24B5"/>
    <w:rsid w:val="00CF4834"/>
    <w:rsid w:val="00CF74D8"/>
    <w:rsid w:val="00CF7AD1"/>
    <w:rsid w:val="00CF7CAB"/>
    <w:rsid w:val="00D000E0"/>
    <w:rsid w:val="00D00338"/>
    <w:rsid w:val="00D0260F"/>
    <w:rsid w:val="00D02679"/>
    <w:rsid w:val="00D0382A"/>
    <w:rsid w:val="00D03B65"/>
    <w:rsid w:val="00D0443B"/>
    <w:rsid w:val="00D04902"/>
    <w:rsid w:val="00D07702"/>
    <w:rsid w:val="00D10708"/>
    <w:rsid w:val="00D11372"/>
    <w:rsid w:val="00D1335B"/>
    <w:rsid w:val="00D148B4"/>
    <w:rsid w:val="00D15B45"/>
    <w:rsid w:val="00D161FD"/>
    <w:rsid w:val="00D162D9"/>
    <w:rsid w:val="00D1717A"/>
    <w:rsid w:val="00D21CC6"/>
    <w:rsid w:val="00D26CF3"/>
    <w:rsid w:val="00D277F0"/>
    <w:rsid w:val="00D3005D"/>
    <w:rsid w:val="00D32A54"/>
    <w:rsid w:val="00D34EFA"/>
    <w:rsid w:val="00D363A6"/>
    <w:rsid w:val="00D36838"/>
    <w:rsid w:val="00D40959"/>
    <w:rsid w:val="00D41BF8"/>
    <w:rsid w:val="00D439BD"/>
    <w:rsid w:val="00D47368"/>
    <w:rsid w:val="00D50826"/>
    <w:rsid w:val="00D524AA"/>
    <w:rsid w:val="00D52C27"/>
    <w:rsid w:val="00D52C55"/>
    <w:rsid w:val="00D5411E"/>
    <w:rsid w:val="00D54B0C"/>
    <w:rsid w:val="00D56457"/>
    <w:rsid w:val="00D56952"/>
    <w:rsid w:val="00D57C5D"/>
    <w:rsid w:val="00D57CED"/>
    <w:rsid w:val="00D60CF5"/>
    <w:rsid w:val="00D64B85"/>
    <w:rsid w:val="00D70204"/>
    <w:rsid w:val="00D705CA"/>
    <w:rsid w:val="00D70C46"/>
    <w:rsid w:val="00D7441D"/>
    <w:rsid w:val="00D7464E"/>
    <w:rsid w:val="00D7511C"/>
    <w:rsid w:val="00D771AA"/>
    <w:rsid w:val="00D77697"/>
    <w:rsid w:val="00D81247"/>
    <w:rsid w:val="00D82000"/>
    <w:rsid w:val="00D83C8F"/>
    <w:rsid w:val="00D83E47"/>
    <w:rsid w:val="00D85046"/>
    <w:rsid w:val="00D851B5"/>
    <w:rsid w:val="00D867BA"/>
    <w:rsid w:val="00D86DF4"/>
    <w:rsid w:val="00D87664"/>
    <w:rsid w:val="00D9081C"/>
    <w:rsid w:val="00D91BEA"/>
    <w:rsid w:val="00D92453"/>
    <w:rsid w:val="00D9378D"/>
    <w:rsid w:val="00D9412C"/>
    <w:rsid w:val="00D94252"/>
    <w:rsid w:val="00D9754B"/>
    <w:rsid w:val="00D978F1"/>
    <w:rsid w:val="00DA1CA4"/>
    <w:rsid w:val="00DA241C"/>
    <w:rsid w:val="00DA4C79"/>
    <w:rsid w:val="00DA6801"/>
    <w:rsid w:val="00DA6B7E"/>
    <w:rsid w:val="00DA7126"/>
    <w:rsid w:val="00DB0D79"/>
    <w:rsid w:val="00DB31D4"/>
    <w:rsid w:val="00DB5C3D"/>
    <w:rsid w:val="00DB7982"/>
    <w:rsid w:val="00DB7C6A"/>
    <w:rsid w:val="00DC044A"/>
    <w:rsid w:val="00DC11E1"/>
    <w:rsid w:val="00DC501A"/>
    <w:rsid w:val="00DC5D12"/>
    <w:rsid w:val="00DC6625"/>
    <w:rsid w:val="00DC6DA1"/>
    <w:rsid w:val="00DC724D"/>
    <w:rsid w:val="00DD15B5"/>
    <w:rsid w:val="00DD19BA"/>
    <w:rsid w:val="00DD1E8B"/>
    <w:rsid w:val="00DD231A"/>
    <w:rsid w:val="00DD32DE"/>
    <w:rsid w:val="00DD3687"/>
    <w:rsid w:val="00DD3FD5"/>
    <w:rsid w:val="00DD426C"/>
    <w:rsid w:val="00DD467A"/>
    <w:rsid w:val="00DD54CD"/>
    <w:rsid w:val="00DD57BA"/>
    <w:rsid w:val="00DD7794"/>
    <w:rsid w:val="00DD7DAD"/>
    <w:rsid w:val="00DD7F82"/>
    <w:rsid w:val="00DE1428"/>
    <w:rsid w:val="00DE16C9"/>
    <w:rsid w:val="00DE2F15"/>
    <w:rsid w:val="00DE3F8F"/>
    <w:rsid w:val="00DE6C07"/>
    <w:rsid w:val="00DF12D4"/>
    <w:rsid w:val="00DF24B3"/>
    <w:rsid w:val="00DF28B1"/>
    <w:rsid w:val="00DF48F2"/>
    <w:rsid w:val="00DF5A01"/>
    <w:rsid w:val="00DF791A"/>
    <w:rsid w:val="00E000CB"/>
    <w:rsid w:val="00E00A5C"/>
    <w:rsid w:val="00E023A4"/>
    <w:rsid w:val="00E02C8F"/>
    <w:rsid w:val="00E03AEC"/>
    <w:rsid w:val="00E03E25"/>
    <w:rsid w:val="00E03E7E"/>
    <w:rsid w:val="00E07B8C"/>
    <w:rsid w:val="00E10731"/>
    <w:rsid w:val="00E1235E"/>
    <w:rsid w:val="00E12BEC"/>
    <w:rsid w:val="00E14EF0"/>
    <w:rsid w:val="00E17A5D"/>
    <w:rsid w:val="00E21220"/>
    <w:rsid w:val="00E22FAE"/>
    <w:rsid w:val="00E23228"/>
    <w:rsid w:val="00E239EA"/>
    <w:rsid w:val="00E255C1"/>
    <w:rsid w:val="00E27889"/>
    <w:rsid w:val="00E310A3"/>
    <w:rsid w:val="00E324F8"/>
    <w:rsid w:val="00E34686"/>
    <w:rsid w:val="00E360F5"/>
    <w:rsid w:val="00E40F07"/>
    <w:rsid w:val="00E41A29"/>
    <w:rsid w:val="00E4270E"/>
    <w:rsid w:val="00E428DE"/>
    <w:rsid w:val="00E445AB"/>
    <w:rsid w:val="00E459C0"/>
    <w:rsid w:val="00E45A82"/>
    <w:rsid w:val="00E4736D"/>
    <w:rsid w:val="00E47674"/>
    <w:rsid w:val="00E50113"/>
    <w:rsid w:val="00E51BFB"/>
    <w:rsid w:val="00E527FD"/>
    <w:rsid w:val="00E52DEE"/>
    <w:rsid w:val="00E53557"/>
    <w:rsid w:val="00E54432"/>
    <w:rsid w:val="00E5469B"/>
    <w:rsid w:val="00E54B84"/>
    <w:rsid w:val="00E5517E"/>
    <w:rsid w:val="00E564BD"/>
    <w:rsid w:val="00E576B3"/>
    <w:rsid w:val="00E57E01"/>
    <w:rsid w:val="00E60E37"/>
    <w:rsid w:val="00E624CA"/>
    <w:rsid w:val="00E62FAD"/>
    <w:rsid w:val="00E638CF"/>
    <w:rsid w:val="00E64E65"/>
    <w:rsid w:val="00E6709D"/>
    <w:rsid w:val="00E7029F"/>
    <w:rsid w:val="00E718C1"/>
    <w:rsid w:val="00E722C7"/>
    <w:rsid w:val="00E72D2A"/>
    <w:rsid w:val="00E72E80"/>
    <w:rsid w:val="00E73E66"/>
    <w:rsid w:val="00E7401A"/>
    <w:rsid w:val="00E75041"/>
    <w:rsid w:val="00E77AD5"/>
    <w:rsid w:val="00E80137"/>
    <w:rsid w:val="00E808A0"/>
    <w:rsid w:val="00E81417"/>
    <w:rsid w:val="00E826A8"/>
    <w:rsid w:val="00E83310"/>
    <w:rsid w:val="00E83E4E"/>
    <w:rsid w:val="00E84798"/>
    <w:rsid w:val="00E84AC6"/>
    <w:rsid w:val="00E8695F"/>
    <w:rsid w:val="00E86CF8"/>
    <w:rsid w:val="00E87171"/>
    <w:rsid w:val="00E87C5A"/>
    <w:rsid w:val="00E900C9"/>
    <w:rsid w:val="00E9107F"/>
    <w:rsid w:val="00E9125D"/>
    <w:rsid w:val="00E91719"/>
    <w:rsid w:val="00E91D44"/>
    <w:rsid w:val="00E923FC"/>
    <w:rsid w:val="00E92576"/>
    <w:rsid w:val="00E9261B"/>
    <w:rsid w:val="00E95555"/>
    <w:rsid w:val="00E963C1"/>
    <w:rsid w:val="00E96827"/>
    <w:rsid w:val="00E969B8"/>
    <w:rsid w:val="00E97CA4"/>
    <w:rsid w:val="00EA0582"/>
    <w:rsid w:val="00EA094C"/>
    <w:rsid w:val="00EA203F"/>
    <w:rsid w:val="00EA236A"/>
    <w:rsid w:val="00EA2BAC"/>
    <w:rsid w:val="00EA3D80"/>
    <w:rsid w:val="00EA54E2"/>
    <w:rsid w:val="00EA635E"/>
    <w:rsid w:val="00EA769C"/>
    <w:rsid w:val="00EA7AE6"/>
    <w:rsid w:val="00EB126B"/>
    <w:rsid w:val="00EB34C3"/>
    <w:rsid w:val="00EB3ED0"/>
    <w:rsid w:val="00EB45AB"/>
    <w:rsid w:val="00EB4896"/>
    <w:rsid w:val="00EB5C6C"/>
    <w:rsid w:val="00EB69C9"/>
    <w:rsid w:val="00EB7637"/>
    <w:rsid w:val="00EB7828"/>
    <w:rsid w:val="00EC08E4"/>
    <w:rsid w:val="00EC0933"/>
    <w:rsid w:val="00EC27BE"/>
    <w:rsid w:val="00EC2FEE"/>
    <w:rsid w:val="00EC37C4"/>
    <w:rsid w:val="00EC6D84"/>
    <w:rsid w:val="00EC722D"/>
    <w:rsid w:val="00EC7702"/>
    <w:rsid w:val="00ED0D00"/>
    <w:rsid w:val="00ED5929"/>
    <w:rsid w:val="00ED6DC5"/>
    <w:rsid w:val="00EE0525"/>
    <w:rsid w:val="00EE3AB3"/>
    <w:rsid w:val="00EE3CD7"/>
    <w:rsid w:val="00EE3F16"/>
    <w:rsid w:val="00EE594F"/>
    <w:rsid w:val="00EE72E4"/>
    <w:rsid w:val="00EF08EA"/>
    <w:rsid w:val="00EF149A"/>
    <w:rsid w:val="00EF243A"/>
    <w:rsid w:val="00EF3575"/>
    <w:rsid w:val="00EF4332"/>
    <w:rsid w:val="00EF5AE9"/>
    <w:rsid w:val="00EF6F6D"/>
    <w:rsid w:val="00F0004F"/>
    <w:rsid w:val="00F0183B"/>
    <w:rsid w:val="00F0268E"/>
    <w:rsid w:val="00F030DF"/>
    <w:rsid w:val="00F047EF"/>
    <w:rsid w:val="00F07A87"/>
    <w:rsid w:val="00F13C86"/>
    <w:rsid w:val="00F15048"/>
    <w:rsid w:val="00F16F82"/>
    <w:rsid w:val="00F17327"/>
    <w:rsid w:val="00F20609"/>
    <w:rsid w:val="00F206ED"/>
    <w:rsid w:val="00F21237"/>
    <w:rsid w:val="00F22D71"/>
    <w:rsid w:val="00F25125"/>
    <w:rsid w:val="00F25C0B"/>
    <w:rsid w:val="00F26289"/>
    <w:rsid w:val="00F263F2"/>
    <w:rsid w:val="00F268C5"/>
    <w:rsid w:val="00F27251"/>
    <w:rsid w:val="00F27845"/>
    <w:rsid w:val="00F27EFD"/>
    <w:rsid w:val="00F31D03"/>
    <w:rsid w:val="00F349EE"/>
    <w:rsid w:val="00F35300"/>
    <w:rsid w:val="00F35FF2"/>
    <w:rsid w:val="00F368C3"/>
    <w:rsid w:val="00F36A28"/>
    <w:rsid w:val="00F4550D"/>
    <w:rsid w:val="00F45874"/>
    <w:rsid w:val="00F45881"/>
    <w:rsid w:val="00F459CE"/>
    <w:rsid w:val="00F45C83"/>
    <w:rsid w:val="00F5047E"/>
    <w:rsid w:val="00F5159C"/>
    <w:rsid w:val="00F5659E"/>
    <w:rsid w:val="00F565C2"/>
    <w:rsid w:val="00F56E34"/>
    <w:rsid w:val="00F57492"/>
    <w:rsid w:val="00F57FA2"/>
    <w:rsid w:val="00F60C16"/>
    <w:rsid w:val="00F61285"/>
    <w:rsid w:val="00F617DB"/>
    <w:rsid w:val="00F64741"/>
    <w:rsid w:val="00F647B4"/>
    <w:rsid w:val="00F707DB"/>
    <w:rsid w:val="00F71EF6"/>
    <w:rsid w:val="00F73B92"/>
    <w:rsid w:val="00F74AA3"/>
    <w:rsid w:val="00F74BB2"/>
    <w:rsid w:val="00F75755"/>
    <w:rsid w:val="00F778C1"/>
    <w:rsid w:val="00F8027B"/>
    <w:rsid w:val="00F81A2E"/>
    <w:rsid w:val="00F81B78"/>
    <w:rsid w:val="00F835DF"/>
    <w:rsid w:val="00F852B3"/>
    <w:rsid w:val="00F86A9F"/>
    <w:rsid w:val="00F92E42"/>
    <w:rsid w:val="00F93400"/>
    <w:rsid w:val="00F93B0B"/>
    <w:rsid w:val="00F93C5F"/>
    <w:rsid w:val="00F95A82"/>
    <w:rsid w:val="00F96A86"/>
    <w:rsid w:val="00FA096B"/>
    <w:rsid w:val="00FA0EFD"/>
    <w:rsid w:val="00FA35F2"/>
    <w:rsid w:val="00FA4B85"/>
    <w:rsid w:val="00FA7810"/>
    <w:rsid w:val="00FB13DB"/>
    <w:rsid w:val="00FB30DD"/>
    <w:rsid w:val="00FB394A"/>
    <w:rsid w:val="00FB3AF9"/>
    <w:rsid w:val="00FB6C79"/>
    <w:rsid w:val="00FB74E4"/>
    <w:rsid w:val="00FB7B93"/>
    <w:rsid w:val="00FC1FCC"/>
    <w:rsid w:val="00FC223C"/>
    <w:rsid w:val="00FC38FB"/>
    <w:rsid w:val="00FC3FF3"/>
    <w:rsid w:val="00FC536D"/>
    <w:rsid w:val="00FC5939"/>
    <w:rsid w:val="00FC6AA7"/>
    <w:rsid w:val="00FC6E2B"/>
    <w:rsid w:val="00FC7DAC"/>
    <w:rsid w:val="00FD1FDA"/>
    <w:rsid w:val="00FD236A"/>
    <w:rsid w:val="00FD2CB8"/>
    <w:rsid w:val="00FD3D53"/>
    <w:rsid w:val="00FD5EB0"/>
    <w:rsid w:val="00FD72D0"/>
    <w:rsid w:val="00FD7B77"/>
    <w:rsid w:val="00FE0991"/>
    <w:rsid w:val="00FE1300"/>
    <w:rsid w:val="00FE1D92"/>
    <w:rsid w:val="00FE3F6D"/>
    <w:rsid w:val="00FE659F"/>
    <w:rsid w:val="00FE6C12"/>
    <w:rsid w:val="00FE70F5"/>
    <w:rsid w:val="00FE7C50"/>
    <w:rsid w:val="00FF4986"/>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5DB5E"/>
  <w15:docId w15:val="{FC23854C-90C3-4709-83B4-878B892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942"/>
  </w:style>
  <w:style w:type="paragraph" w:styleId="Heading1">
    <w:name w:val="heading 1"/>
    <w:basedOn w:val="Normal"/>
    <w:uiPriority w:val="1"/>
    <w:qFormat/>
    <w:rsid w:val="000C01CD"/>
    <w:pPr>
      <w:spacing w:before="3"/>
      <w:outlineLvl w:val="0"/>
    </w:pPr>
    <w:rPr>
      <w:rFonts w:ascii="Times New Roman" w:eastAsia="Arial" w:hAnsi="Times New Roman"/>
      <w:b/>
      <w:sz w:val="28"/>
      <w:szCs w:val="26"/>
      <w:u w:val="single"/>
    </w:rPr>
  </w:style>
  <w:style w:type="paragraph" w:styleId="Heading2">
    <w:name w:val="heading 2"/>
    <w:basedOn w:val="Normal"/>
    <w:link w:val="Heading2Char"/>
    <w:uiPriority w:val="1"/>
    <w:qFormat/>
    <w:pPr>
      <w:ind w:left="2800"/>
      <w:outlineLvl w:val="1"/>
    </w:pPr>
    <w:rPr>
      <w:rFonts w:ascii="Arial" w:eastAsia="Arial" w:hAnsi="Arial"/>
      <w:sz w:val="20"/>
      <w:szCs w:val="20"/>
    </w:rPr>
  </w:style>
  <w:style w:type="paragraph" w:styleId="Heading3">
    <w:name w:val="heading 3"/>
    <w:basedOn w:val="Normal"/>
    <w:uiPriority w:val="1"/>
    <w:qFormat/>
    <w:pPr>
      <w:ind w:left="848"/>
      <w:outlineLvl w:val="2"/>
    </w:pPr>
    <w:rPr>
      <w:rFonts w:ascii="Arial" w:eastAsia="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2"/>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131"/>
    <w:pPr>
      <w:tabs>
        <w:tab w:val="center" w:pos="4680"/>
        <w:tab w:val="right" w:pos="9360"/>
      </w:tabs>
    </w:pPr>
  </w:style>
  <w:style w:type="character" w:customStyle="1" w:styleId="HeaderChar">
    <w:name w:val="Header Char"/>
    <w:basedOn w:val="DefaultParagraphFont"/>
    <w:link w:val="Header"/>
    <w:uiPriority w:val="99"/>
    <w:rsid w:val="00AA0131"/>
  </w:style>
  <w:style w:type="paragraph" w:styleId="Footer">
    <w:name w:val="footer"/>
    <w:basedOn w:val="Normal"/>
    <w:link w:val="FooterChar"/>
    <w:uiPriority w:val="99"/>
    <w:unhideWhenUsed/>
    <w:rsid w:val="00AA0131"/>
    <w:pPr>
      <w:tabs>
        <w:tab w:val="center" w:pos="4680"/>
        <w:tab w:val="right" w:pos="9360"/>
      </w:tabs>
    </w:pPr>
  </w:style>
  <w:style w:type="character" w:customStyle="1" w:styleId="FooterChar">
    <w:name w:val="Footer Char"/>
    <w:basedOn w:val="DefaultParagraphFont"/>
    <w:link w:val="Footer"/>
    <w:uiPriority w:val="99"/>
    <w:rsid w:val="00AA0131"/>
  </w:style>
  <w:style w:type="paragraph" w:styleId="BalloonText">
    <w:name w:val="Balloon Text"/>
    <w:basedOn w:val="Normal"/>
    <w:link w:val="BalloonTextChar"/>
    <w:uiPriority w:val="99"/>
    <w:semiHidden/>
    <w:unhideWhenUsed/>
    <w:rsid w:val="00AA0131"/>
    <w:rPr>
      <w:rFonts w:ascii="Tahoma" w:hAnsi="Tahoma" w:cs="Tahoma"/>
      <w:sz w:val="16"/>
      <w:szCs w:val="16"/>
    </w:rPr>
  </w:style>
  <w:style w:type="character" w:customStyle="1" w:styleId="BalloonTextChar">
    <w:name w:val="Balloon Text Char"/>
    <w:basedOn w:val="DefaultParagraphFont"/>
    <w:link w:val="BalloonText"/>
    <w:uiPriority w:val="99"/>
    <w:semiHidden/>
    <w:rsid w:val="00AA0131"/>
    <w:rPr>
      <w:rFonts w:ascii="Tahoma" w:hAnsi="Tahoma" w:cs="Tahoma"/>
      <w:sz w:val="16"/>
      <w:szCs w:val="16"/>
    </w:rPr>
  </w:style>
  <w:style w:type="paragraph" w:customStyle="1" w:styleId="Default">
    <w:name w:val="Default"/>
    <w:rsid w:val="00902109"/>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7464E"/>
    <w:rPr>
      <w:rFonts w:ascii="Arial" w:eastAsia="Arial" w:hAnsi="Arial"/>
      <w:sz w:val="20"/>
      <w:szCs w:val="20"/>
    </w:rPr>
  </w:style>
  <w:style w:type="paragraph" w:styleId="NormalWeb">
    <w:name w:val="Normal (Web)"/>
    <w:basedOn w:val="Normal"/>
    <w:rsid w:val="00AD5900"/>
    <w:pPr>
      <w:widowControl/>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41315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413153"/>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3">
    <w:name w:val="Light Shading Accent 3"/>
    <w:basedOn w:val="TableNormal"/>
    <w:uiPriority w:val="60"/>
    <w:rsid w:val="004131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131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
    <w:name w:val="Light Shading"/>
    <w:basedOn w:val="TableNormal"/>
    <w:uiPriority w:val="60"/>
    <w:rsid w:val="004131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DC724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Grid3-Accent1">
    <w:name w:val="Medium Grid 3 Accent 1"/>
    <w:basedOn w:val="TableNormal"/>
    <w:uiPriority w:val="69"/>
    <w:rsid w:val="00DC72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Shading1-Accent1">
    <w:name w:val="Medium Shading 1 Accent 1"/>
    <w:basedOn w:val="TableNormal"/>
    <w:uiPriority w:val="63"/>
    <w:rsid w:val="00DC724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C724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B13F3F"/>
    <w:rPr>
      <w:sz w:val="16"/>
      <w:szCs w:val="16"/>
    </w:rPr>
  </w:style>
  <w:style w:type="paragraph" w:styleId="CommentText">
    <w:name w:val="annotation text"/>
    <w:basedOn w:val="Normal"/>
    <w:link w:val="CommentTextChar"/>
    <w:uiPriority w:val="99"/>
    <w:semiHidden/>
    <w:unhideWhenUsed/>
    <w:rsid w:val="00B13F3F"/>
    <w:rPr>
      <w:sz w:val="20"/>
      <w:szCs w:val="20"/>
    </w:rPr>
  </w:style>
  <w:style w:type="character" w:customStyle="1" w:styleId="CommentTextChar">
    <w:name w:val="Comment Text Char"/>
    <w:basedOn w:val="DefaultParagraphFont"/>
    <w:link w:val="CommentText"/>
    <w:uiPriority w:val="99"/>
    <w:semiHidden/>
    <w:rsid w:val="00B13F3F"/>
    <w:rPr>
      <w:sz w:val="20"/>
      <w:szCs w:val="20"/>
    </w:rPr>
  </w:style>
  <w:style w:type="paragraph" w:styleId="CommentSubject">
    <w:name w:val="annotation subject"/>
    <w:basedOn w:val="CommentText"/>
    <w:next w:val="CommentText"/>
    <w:link w:val="CommentSubjectChar"/>
    <w:uiPriority w:val="99"/>
    <w:semiHidden/>
    <w:unhideWhenUsed/>
    <w:rsid w:val="00B13F3F"/>
    <w:rPr>
      <w:b/>
      <w:bCs/>
    </w:rPr>
  </w:style>
  <w:style w:type="character" w:customStyle="1" w:styleId="CommentSubjectChar">
    <w:name w:val="Comment Subject Char"/>
    <w:basedOn w:val="CommentTextChar"/>
    <w:link w:val="CommentSubject"/>
    <w:uiPriority w:val="99"/>
    <w:semiHidden/>
    <w:rsid w:val="00B13F3F"/>
    <w:rPr>
      <w:b/>
      <w:bCs/>
      <w:sz w:val="20"/>
      <w:szCs w:val="20"/>
    </w:rPr>
  </w:style>
  <w:style w:type="paragraph" w:styleId="Revision">
    <w:name w:val="Revision"/>
    <w:hidden/>
    <w:uiPriority w:val="99"/>
    <w:semiHidden/>
    <w:rsid w:val="0015110D"/>
    <w:pPr>
      <w:widowControl/>
    </w:pPr>
  </w:style>
  <w:style w:type="character" w:customStyle="1" w:styleId="apple-converted-space">
    <w:name w:val="apple-converted-space"/>
    <w:basedOn w:val="DefaultParagraphFont"/>
    <w:rsid w:val="00E1235E"/>
  </w:style>
  <w:style w:type="character" w:styleId="Hyperlink">
    <w:name w:val="Hyperlink"/>
    <w:uiPriority w:val="99"/>
    <w:rsid w:val="000E0911"/>
    <w:rPr>
      <w:color w:val="0000FF"/>
      <w:u w:val="single"/>
    </w:rPr>
  </w:style>
  <w:style w:type="paragraph" w:customStyle="1" w:styleId="Normal1">
    <w:name w:val="Normal1"/>
    <w:basedOn w:val="Normal"/>
    <w:rsid w:val="005721E9"/>
    <w:pPr>
      <w:widowControl/>
    </w:pPr>
    <w:rPr>
      <w:rFonts w:ascii="Times New Roman" w:eastAsia="Times New Roman" w:hAnsi="Times New Roman" w:cs="Times New Roman"/>
      <w:sz w:val="24"/>
      <w:szCs w:val="24"/>
    </w:rPr>
  </w:style>
  <w:style w:type="character" w:customStyle="1" w:styleId="s2cc9b3cb1">
    <w:name w:val="s_2cc9b3cb1"/>
    <w:basedOn w:val="DefaultParagraphFont"/>
    <w:rsid w:val="005721E9"/>
    <w:rPr>
      <w:rFonts w:ascii="Segoe UI" w:hAnsi="Segoe UI" w:cs="Segoe UI" w:hint="default"/>
      <w:color w:val="000000"/>
      <w:sz w:val="22"/>
      <w:szCs w:val="22"/>
    </w:rPr>
  </w:style>
  <w:style w:type="paragraph" w:styleId="TOC1">
    <w:name w:val="toc 1"/>
    <w:basedOn w:val="Normal"/>
    <w:next w:val="Normal"/>
    <w:autoRedefine/>
    <w:uiPriority w:val="39"/>
    <w:unhideWhenUsed/>
    <w:rsid w:val="0002202E"/>
    <w:pPr>
      <w:spacing w:line="360" w:lineRule="auto"/>
    </w:pPr>
    <w:rPr>
      <w:rFonts w:ascii="Times New Roman" w:hAnsi="Times New Roman"/>
      <w:b/>
      <w:bCs/>
      <w:color w:val="000099"/>
      <w:sz w:val="32"/>
      <w:szCs w:val="24"/>
    </w:rPr>
  </w:style>
  <w:style w:type="paragraph" w:styleId="TOC2">
    <w:name w:val="toc 2"/>
    <w:basedOn w:val="Normal"/>
    <w:next w:val="Normal"/>
    <w:autoRedefine/>
    <w:uiPriority w:val="39"/>
    <w:unhideWhenUsed/>
    <w:rsid w:val="007E1E52"/>
    <w:pPr>
      <w:spacing w:before="240"/>
    </w:pPr>
    <w:rPr>
      <w:b/>
      <w:bCs/>
      <w:sz w:val="20"/>
      <w:szCs w:val="20"/>
    </w:rPr>
  </w:style>
  <w:style w:type="paragraph" w:styleId="TOC3">
    <w:name w:val="toc 3"/>
    <w:basedOn w:val="Normal"/>
    <w:next w:val="Normal"/>
    <w:autoRedefine/>
    <w:uiPriority w:val="39"/>
    <w:unhideWhenUsed/>
    <w:rsid w:val="007E1E52"/>
    <w:pPr>
      <w:ind w:left="220"/>
    </w:pPr>
    <w:rPr>
      <w:sz w:val="20"/>
      <w:szCs w:val="20"/>
    </w:rPr>
  </w:style>
  <w:style w:type="paragraph" w:styleId="TOC4">
    <w:name w:val="toc 4"/>
    <w:basedOn w:val="Normal"/>
    <w:next w:val="Normal"/>
    <w:autoRedefine/>
    <w:uiPriority w:val="39"/>
    <w:unhideWhenUsed/>
    <w:rsid w:val="007E1E52"/>
    <w:pPr>
      <w:ind w:left="440"/>
    </w:pPr>
    <w:rPr>
      <w:sz w:val="20"/>
      <w:szCs w:val="20"/>
    </w:rPr>
  </w:style>
  <w:style w:type="paragraph" w:styleId="TOC5">
    <w:name w:val="toc 5"/>
    <w:basedOn w:val="Normal"/>
    <w:next w:val="Normal"/>
    <w:autoRedefine/>
    <w:uiPriority w:val="39"/>
    <w:unhideWhenUsed/>
    <w:rsid w:val="007E1E52"/>
    <w:pPr>
      <w:ind w:left="660"/>
    </w:pPr>
    <w:rPr>
      <w:sz w:val="20"/>
      <w:szCs w:val="20"/>
    </w:rPr>
  </w:style>
  <w:style w:type="paragraph" w:styleId="TOC6">
    <w:name w:val="toc 6"/>
    <w:basedOn w:val="Normal"/>
    <w:next w:val="Normal"/>
    <w:autoRedefine/>
    <w:uiPriority w:val="39"/>
    <w:unhideWhenUsed/>
    <w:rsid w:val="007E1E52"/>
    <w:pPr>
      <w:ind w:left="880"/>
    </w:pPr>
    <w:rPr>
      <w:sz w:val="20"/>
      <w:szCs w:val="20"/>
    </w:rPr>
  </w:style>
  <w:style w:type="paragraph" w:styleId="TOC7">
    <w:name w:val="toc 7"/>
    <w:basedOn w:val="Normal"/>
    <w:next w:val="Normal"/>
    <w:autoRedefine/>
    <w:uiPriority w:val="39"/>
    <w:unhideWhenUsed/>
    <w:rsid w:val="007E1E52"/>
    <w:pPr>
      <w:ind w:left="1100"/>
    </w:pPr>
    <w:rPr>
      <w:sz w:val="20"/>
      <w:szCs w:val="20"/>
    </w:rPr>
  </w:style>
  <w:style w:type="paragraph" w:styleId="TOC8">
    <w:name w:val="toc 8"/>
    <w:basedOn w:val="Normal"/>
    <w:next w:val="Normal"/>
    <w:autoRedefine/>
    <w:uiPriority w:val="39"/>
    <w:unhideWhenUsed/>
    <w:rsid w:val="007E1E52"/>
    <w:pPr>
      <w:ind w:left="1320"/>
    </w:pPr>
    <w:rPr>
      <w:sz w:val="20"/>
      <w:szCs w:val="20"/>
    </w:rPr>
  </w:style>
  <w:style w:type="paragraph" w:styleId="TOC9">
    <w:name w:val="toc 9"/>
    <w:basedOn w:val="Normal"/>
    <w:next w:val="Normal"/>
    <w:autoRedefine/>
    <w:uiPriority w:val="39"/>
    <w:unhideWhenUsed/>
    <w:rsid w:val="007E1E52"/>
    <w:pPr>
      <w:ind w:left="1540"/>
    </w:pPr>
    <w:rPr>
      <w:sz w:val="20"/>
      <w:szCs w:val="20"/>
    </w:rPr>
  </w:style>
  <w:style w:type="paragraph" w:styleId="TOCHeading">
    <w:name w:val="TOC Heading"/>
    <w:basedOn w:val="Heading1"/>
    <w:next w:val="Normal"/>
    <w:uiPriority w:val="39"/>
    <w:unhideWhenUsed/>
    <w:qFormat/>
    <w:rsid w:val="000C01CD"/>
    <w:pPr>
      <w:keepNext/>
      <w:keepLines/>
      <w:widowControl/>
      <w:spacing w:before="480" w:line="276" w:lineRule="auto"/>
      <w:outlineLvl w:val="9"/>
    </w:pPr>
    <w:rPr>
      <w:rFonts w:asciiTheme="majorHAnsi" w:eastAsiaTheme="majorEastAsia" w:hAnsiTheme="majorHAnsi" w:cstheme="majorBidi"/>
      <w:b w:val="0"/>
      <w:bCs/>
      <w:color w:val="2F5496" w:themeColor="accent1" w:themeShade="BF"/>
      <w:szCs w:val="28"/>
      <w:lang w:eastAsia="ja-JP"/>
    </w:rPr>
  </w:style>
  <w:style w:type="paragraph" w:styleId="NoSpacing">
    <w:name w:val="No Spacing"/>
    <w:uiPriority w:val="1"/>
    <w:qFormat/>
    <w:rsid w:val="007A455A"/>
  </w:style>
  <w:style w:type="paragraph" w:styleId="FootnoteText">
    <w:name w:val="footnote text"/>
    <w:basedOn w:val="Normal"/>
    <w:link w:val="FootnoteTextChar"/>
    <w:uiPriority w:val="99"/>
    <w:semiHidden/>
    <w:unhideWhenUsed/>
    <w:rsid w:val="00001EB5"/>
    <w:pPr>
      <w:widowControl/>
    </w:pPr>
    <w:rPr>
      <w:sz w:val="20"/>
      <w:szCs w:val="20"/>
    </w:rPr>
  </w:style>
  <w:style w:type="character" w:customStyle="1" w:styleId="FootnoteTextChar">
    <w:name w:val="Footnote Text Char"/>
    <w:basedOn w:val="DefaultParagraphFont"/>
    <w:link w:val="FootnoteText"/>
    <w:uiPriority w:val="99"/>
    <w:semiHidden/>
    <w:rsid w:val="00001EB5"/>
    <w:rPr>
      <w:sz w:val="20"/>
      <w:szCs w:val="20"/>
    </w:rPr>
  </w:style>
  <w:style w:type="character" w:styleId="FootnoteReference">
    <w:name w:val="footnote reference"/>
    <w:basedOn w:val="DefaultParagraphFont"/>
    <w:uiPriority w:val="99"/>
    <w:semiHidden/>
    <w:unhideWhenUsed/>
    <w:rsid w:val="00001EB5"/>
    <w:rPr>
      <w:vertAlign w:val="superscript"/>
    </w:rPr>
  </w:style>
  <w:style w:type="character" w:customStyle="1" w:styleId="e24kjd">
    <w:name w:val="e24kjd"/>
    <w:basedOn w:val="DefaultParagraphFont"/>
    <w:rsid w:val="000925CB"/>
  </w:style>
  <w:style w:type="character" w:customStyle="1" w:styleId="hgkelc">
    <w:name w:val="hgkelc"/>
    <w:basedOn w:val="DefaultParagraphFont"/>
    <w:rsid w:val="008A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5891">
      <w:bodyDiv w:val="1"/>
      <w:marLeft w:val="0"/>
      <w:marRight w:val="0"/>
      <w:marTop w:val="0"/>
      <w:marBottom w:val="0"/>
      <w:divBdr>
        <w:top w:val="none" w:sz="0" w:space="0" w:color="auto"/>
        <w:left w:val="none" w:sz="0" w:space="0" w:color="auto"/>
        <w:bottom w:val="none" w:sz="0" w:space="0" w:color="auto"/>
        <w:right w:val="none" w:sz="0" w:space="0" w:color="auto"/>
      </w:divBdr>
    </w:div>
    <w:div w:id="57479628">
      <w:bodyDiv w:val="1"/>
      <w:marLeft w:val="0"/>
      <w:marRight w:val="0"/>
      <w:marTop w:val="0"/>
      <w:marBottom w:val="0"/>
      <w:divBdr>
        <w:top w:val="none" w:sz="0" w:space="0" w:color="auto"/>
        <w:left w:val="none" w:sz="0" w:space="0" w:color="auto"/>
        <w:bottom w:val="none" w:sz="0" w:space="0" w:color="auto"/>
        <w:right w:val="none" w:sz="0" w:space="0" w:color="auto"/>
      </w:divBdr>
    </w:div>
    <w:div w:id="93552087">
      <w:bodyDiv w:val="1"/>
      <w:marLeft w:val="0"/>
      <w:marRight w:val="0"/>
      <w:marTop w:val="0"/>
      <w:marBottom w:val="0"/>
      <w:divBdr>
        <w:top w:val="none" w:sz="0" w:space="0" w:color="auto"/>
        <w:left w:val="none" w:sz="0" w:space="0" w:color="auto"/>
        <w:bottom w:val="none" w:sz="0" w:space="0" w:color="auto"/>
        <w:right w:val="none" w:sz="0" w:space="0" w:color="auto"/>
      </w:divBdr>
    </w:div>
    <w:div w:id="95910729">
      <w:bodyDiv w:val="1"/>
      <w:marLeft w:val="0"/>
      <w:marRight w:val="0"/>
      <w:marTop w:val="0"/>
      <w:marBottom w:val="0"/>
      <w:divBdr>
        <w:top w:val="none" w:sz="0" w:space="0" w:color="auto"/>
        <w:left w:val="none" w:sz="0" w:space="0" w:color="auto"/>
        <w:bottom w:val="none" w:sz="0" w:space="0" w:color="auto"/>
        <w:right w:val="none" w:sz="0" w:space="0" w:color="auto"/>
      </w:divBdr>
    </w:div>
    <w:div w:id="98452435">
      <w:bodyDiv w:val="1"/>
      <w:marLeft w:val="0"/>
      <w:marRight w:val="0"/>
      <w:marTop w:val="0"/>
      <w:marBottom w:val="0"/>
      <w:divBdr>
        <w:top w:val="none" w:sz="0" w:space="0" w:color="auto"/>
        <w:left w:val="none" w:sz="0" w:space="0" w:color="auto"/>
        <w:bottom w:val="none" w:sz="0" w:space="0" w:color="auto"/>
        <w:right w:val="none" w:sz="0" w:space="0" w:color="auto"/>
      </w:divBdr>
    </w:div>
    <w:div w:id="101077058">
      <w:bodyDiv w:val="1"/>
      <w:marLeft w:val="0"/>
      <w:marRight w:val="0"/>
      <w:marTop w:val="0"/>
      <w:marBottom w:val="0"/>
      <w:divBdr>
        <w:top w:val="none" w:sz="0" w:space="0" w:color="auto"/>
        <w:left w:val="none" w:sz="0" w:space="0" w:color="auto"/>
        <w:bottom w:val="none" w:sz="0" w:space="0" w:color="auto"/>
        <w:right w:val="none" w:sz="0" w:space="0" w:color="auto"/>
      </w:divBdr>
    </w:div>
    <w:div w:id="104812890">
      <w:bodyDiv w:val="1"/>
      <w:marLeft w:val="0"/>
      <w:marRight w:val="0"/>
      <w:marTop w:val="0"/>
      <w:marBottom w:val="0"/>
      <w:divBdr>
        <w:top w:val="none" w:sz="0" w:space="0" w:color="auto"/>
        <w:left w:val="none" w:sz="0" w:space="0" w:color="auto"/>
        <w:bottom w:val="none" w:sz="0" w:space="0" w:color="auto"/>
        <w:right w:val="none" w:sz="0" w:space="0" w:color="auto"/>
      </w:divBdr>
    </w:div>
    <w:div w:id="132138952">
      <w:bodyDiv w:val="1"/>
      <w:marLeft w:val="0"/>
      <w:marRight w:val="0"/>
      <w:marTop w:val="0"/>
      <w:marBottom w:val="0"/>
      <w:divBdr>
        <w:top w:val="none" w:sz="0" w:space="0" w:color="auto"/>
        <w:left w:val="none" w:sz="0" w:space="0" w:color="auto"/>
        <w:bottom w:val="none" w:sz="0" w:space="0" w:color="auto"/>
        <w:right w:val="none" w:sz="0" w:space="0" w:color="auto"/>
      </w:divBdr>
    </w:div>
    <w:div w:id="233466421">
      <w:bodyDiv w:val="1"/>
      <w:marLeft w:val="0"/>
      <w:marRight w:val="0"/>
      <w:marTop w:val="0"/>
      <w:marBottom w:val="0"/>
      <w:divBdr>
        <w:top w:val="none" w:sz="0" w:space="0" w:color="auto"/>
        <w:left w:val="none" w:sz="0" w:space="0" w:color="auto"/>
        <w:bottom w:val="none" w:sz="0" w:space="0" w:color="auto"/>
        <w:right w:val="none" w:sz="0" w:space="0" w:color="auto"/>
      </w:divBdr>
    </w:div>
    <w:div w:id="295262996">
      <w:bodyDiv w:val="1"/>
      <w:marLeft w:val="0"/>
      <w:marRight w:val="0"/>
      <w:marTop w:val="0"/>
      <w:marBottom w:val="0"/>
      <w:divBdr>
        <w:top w:val="none" w:sz="0" w:space="0" w:color="auto"/>
        <w:left w:val="none" w:sz="0" w:space="0" w:color="auto"/>
        <w:bottom w:val="none" w:sz="0" w:space="0" w:color="auto"/>
        <w:right w:val="none" w:sz="0" w:space="0" w:color="auto"/>
      </w:divBdr>
    </w:div>
    <w:div w:id="550000769">
      <w:bodyDiv w:val="1"/>
      <w:marLeft w:val="0"/>
      <w:marRight w:val="0"/>
      <w:marTop w:val="0"/>
      <w:marBottom w:val="0"/>
      <w:divBdr>
        <w:top w:val="none" w:sz="0" w:space="0" w:color="auto"/>
        <w:left w:val="none" w:sz="0" w:space="0" w:color="auto"/>
        <w:bottom w:val="none" w:sz="0" w:space="0" w:color="auto"/>
        <w:right w:val="none" w:sz="0" w:space="0" w:color="auto"/>
      </w:divBdr>
    </w:div>
    <w:div w:id="572931039">
      <w:bodyDiv w:val="1"/>
      <w:marLeft w:val="0"/>
      <w:marRight w:val="0"/>
      <w:marTop w:val="0"/>
      <w:marBottom w:val="0"/>
      <w:divBdr>
        <w:top w:val="none" w:sz="0" w:space="0" w:color="auto"/>
        <w:left w:val="none" w:sz="0" w:space="0" w:color="auto"/>
        <w:bottom w:val="none" w:sz="0" w:space="0" w:color="auto"/>
        <w:right w:val="none" w:sz="0" w:space="0" w:color="auto"/>
      </w:divBdr>
    </w:div>
    <w:div w:id="573321782">
      <w:bodyDiv w:val="1"/>
      <w:marLeft w:val="0"/>
      <w:marRight w:val="0"/>
      <w:marTop w:val="0"/>
      <w:marBottom w:val="0"/>
      <w:divBdr>
        <w:top w:val="none" w:sz="0" w:space="0" w:color="auto"/>
        <w:left w:val="none" w:sz="0" w:space="0" w:color="auto"/>
        <w:bottom w:val="none" w:sz="0" w:space="0" w:color="auto"/>
        <w:right w:val="none" w:sz="0" w:space="0" w:color="auto"/>
      </w:divBdr>
    </w:div>
    <w:div w:id="606084122">
      <w:bodyDiv w:val="1"/>
      <w:marLeft w:val="0"/>
      <w:marRight w:val="0"/>
      <w:marTop w:val="0"/>
      <w:marBottom w:val="0"/>
      <w:divBdr>
        <w:top w:val="none" w:sz="0" w:space="0" w:color="auto"/>
        <w:left w:val="none" w:sz="0" w:space="0" w:color="auto"/>
        <w:bottom w:val="none" w:sz="0" w:space="0" w:color="auto"/>
        <w:right w:val="none" w:sz="0" w:space="0" w:color="auto"/>
      </w:divBdr>
    </w:div>
    <w:div w:id="628167855">
      <w:bodyDiv w:val="1"/>
      <w:marLeft w:val="0"/>
      <w:marRight w:val="0"/>
      <w:marTop w:val="0"/>
      <w:marBottom w:val="0"/>
      <w:divBdr>
        <w:top w:val="none" w:sz="0" w:space="0" w:color="auto"/>
        <w:left w:val="none" w:sz="0" w:space="0" w:color="auto"/>
        <w:bottom w:val="none" w:sz="0" w:space="0" w:color="auto"/>
        <w:right w:val="none" w:sz="0" w:space="0" w:color="auto"/>
      </w:divBdr>
    </w:div>
    <w:div w:id="633870608">
      <w:bodyDiv w:val="1"/>
      <w:marLeft w:val="0"/>
      <w:marRight w:val="0"/>
      <w:marTop w:val="0"/>
      <w:marBottom w:val="0"/>
      <w:divBdr>
        <w:top w:val="none" w:sz="0" w:space="0" w:color="auto"/>
        <w:left w:val="none" w:sz="0" w:space="0" w:color="auto"/>
        <w:bottom w:val="none" w:sz="0" w:space="0" w:color="auto"/>
        <w:right w:val="none" w:sz="0" w:space="0" w:color="auto"/>
      </w:divBdr>
    </w:div>
    <w:div w:id="657225237">
      <w:bodyDiv w:val="1"/>
      <w:marLeft w:val="0"/>
      <w:marRight w:val="0"/>
      <w:marTop w:val="0"/>
      <w:marBottom w:val="0"/>
      <w:divBdr>
        <w:top w:val="none" w:sz="0" w:space="0" w:color="auto"/>
        <w:left w:val="none" w:sz="0" w:space="0" w:color="auto"/>
        <w:bottom w:val="none" w:sz="0" w:space="0" w:color="auto"/>
        <w:right w:val="none" w:sz="0" w:space="0" w:color="auto"/>
      </w:divBdr>
    </w:div>
    <w:div w:id="738752725">
      <w:bodyDiv w:val="1"/>
      <w:marLeft w:val="0"/>
      <w:marRight w:val="0"/>
      <w:marTop w:val="0"/>
      <w:marBottom w:val="0"/>
      <w:divBdr>
        <w:top w:val="none" w:sz="0" w:space="0" w:color="auto"/>
        <w:left w:val="none" w:sz="0" w:space="0" w:color="auto"/>
        <w:bottom w:val="none" w:sz="0" w:space="0" w:color="auto"/>
        <w:right w:val="none" w:sz="0" w:space="0" w:color="auto"/>
      </w:divBdr>
    </w:div>
    <w:div w:id="762186263">
      <w:bodyDiv w:val="1"/>
      <w:marLeft w:val="0"/>
      <w:marRight w:val="0"/>
      <w:marTop w:val="0"/>
      <w:marBottom w:val="0"/>
      <w:divBdr>
        <w:top w:val="none" w:sz="0" w:space="0" w:color="auto"/>
        <w:left w:val="none" w:sz="0" w:space="0" w:color="auto"/>
        <w:bottom w:val="none" w:sz="0" w:space="0" w:color="auto"/>
        <w:right w:val="none" w:sz="0" w:space="0" w:color="auto"/>
      </w:divBdr>
    </w:div>
    <w:div w:id="816997086">
      <w:bodyDiv w:val="1"/>
      <w:marLeft w:val="0"/>
      <w:marRight w:val="0"/>
      <w:marTop w:val="0"/>
      <w:marBottom w:val="0"/>
      <w:divBdr>
        <w:top w:val="none" w:sz="0" w:space="0" w:color="auto"/>
        <w:left w:val="none" w:sz="0" w:space="0" w:color="auto"/>
        <w:bottom w:val="none" w:sz="0" w:space="0" w:color="auto"/>
        <w:right w:val="none" w:sz="0" w:space="0" w:color="auto"/>
      </w:divBdr>
    </w:div>
    <w:div w:id="830219791">
      <w:bodyDiv w:val="1"/>
      <w:marLeft w:val="0"/>
      <w:marRight w:val="0"/>
      <w:marTop w:val="0"/>
      <w:marBottom w:val="0"/>
      <w:divBdr>
        <w:top w:val="none" w:sz="0" w:space="0" w:color="auto"/>
        <w:left w:val="none" w:sz="0" w:space="0" w:color="auto"/>
        <w:bottom w:val="none" w:sz="0" w:space="0" w:color="auto"/>
        <w:right w:val="none" w:sz="0" w:space="0" w:color="auto"/>
      </w:divBdr>
    </w:div>
    <w:div w:id="835337400">
      <w:bodyDiv w:val="1"/>
      <w:marLeft w:val="0"/>
      <w:marRight w:val="0"/>
      <w:marTop w:val="0"/>
      <w:marBottom w:val="0"/>
      <w:divBdr>
        <w:top w:val="none" w:sz="0" w:space="0" w:color="auto"/>
        <w:left w:val="none" w:sz="0" w:space="0" w:color="auto"/>
        <w:bottom w:val="none" w:sz="0" w:space="0" w:color="auto"/>
        <w:right w:val="none" w:sz="0" w:space="0" w:color="auto"/>
      </w:divBdr>
    </w:div>
    <w:div w:id="873616771">
      <w:bodyDiv w:val="1"/>
      <w:marLeft w:val="0"/>
      <w:marRight w:val="0"/>
      <w:marTop w:val="0"/>
      <w:marBottom w:val="0"/>
      <w:divBdr>
        <w:top w:val="none" w:sz="0" w:space="0" w:color="auto"/>
        <w:left w:val="none" w:sz="0" w:space="0" w:color="auto"/>
        <w:bottom w:val="none" w:sz="0" w:space="0" w:color="auto"/>
        <w:right w:val="none" w:sz="0" w:space="0" w:color="auto"/>
      </w:divBdr>
    </w:div>
    <w:div w:id="964848816">
      <w:bodyDiv w:val="1"/>
      <w:marLeft w:val="0"/>
      <w:marRight w:val="0"/>
      <w:marTop w:val="0"/>
      <w:marBottom w:val="0"/>
      <w:divBdr>
        <w:top w:val="none" w:sz="0" w:space="0" w:color="auto"/>
        <w:left w:val="none" w:sz="0" w:space="0" w:color="auto"/>
        <w:bottom w:val="none" w:sz="0" w:space="0" w:color="auto"/>
        <w:right w:val="none" w:sz="0" w:space="0" w:color="auto"/>
      </w:divBdr>
    </w:div>
    <w:div w:id="1074084540">
      <w:bodyDiv w:val="1"/>
      <w:marLeft w:val="0"/>
      <w:marRight w:val="0"/>
      <w:marTop w:val="0"/>
      <w:marBottom w:val="0"/>
      <w:divBdr>
        <w:top w:val="none" w:sz="0" w:space="0" w:color="auto"/>
        <w:left w:val="none" w:sz="0" w:space="0" w:color="auto"/>
        <w:bottom w:val="none" w:sz="0" w:space="0" w:color="auto"/>
        <w:right w:val="none" w:sz="0" w:space="0" w:color="auto"/>
      </w:divBdr>
    </w:div>
    <w:div w:id="1111973344">
      <w:bodyDiv w:val="1"/>
      <w:marLeft w:val="0"/>
      <w:marRight w:val="0"/>
      <w:marTop w:val="0"/>
      <w:marBottom w:val="0"/>
      <w:divBdr>
        <w:top w:val="none" w:sz="0" w:space="0" w:color="auto"/>
        <w:left w:val="none" w:sz="0" w:space="0" w:color="auto"/>
        <w:bottom w:val="none" w:sz="0" w:space="0" w:color="auto"/>
        <w:right w:val="none" w:sz="0" w:space="0" w:color="auto"/>
      </w:divBdr>
    </w:div>
    <w:div w:id="1112237950">
      <w:bodyDiv w:val="1"/>
      <w:marLeft w:val="0"/>
      <w:marRight w:val="0"/>
      <w:marTop w:val="0"/>
      <w:marBottom w:val="0"/>
      <w:divBdr>
        <w:top w:val="none" w:sz="0" w:space="0" w:color="auto"/>
        <w:left w:val="none" w:sz="0" w:space="0" w:color="auto"/>
        <w:bottom w:val="none" w:sz="0" w:space="0" w:color="auto"/>
        <w:right w:val="none" w:sz="0" w:space="0" w:color="auto"/>
      </w:divBdr>
    </w:div>
    <w:div w:id="1128475130">
      <w:bodyDiv w:val="1"/>
      <w:marLeft w:val="0"/>
      <w:marRight w:val="0"/>
      <w:marTop w:val="0"/>
      <w:marBottom w:val="0"/>
      <w:divBdr>
        <w:top w:val="none" w:sz="0" w:space="0" w:color="auto"/>
        <w:left w:val="none" w:sz="0" w:space="0" w:color="auto"/>
        <w:bottom w:val="none" w:sz="0" w:space="0" w:color="auto"/>
        <w:right w:val="none" w:sz="0" w:space="0" w:color="auto"/>
      </w:divBdr>
    </w:div>
    <w:div w:id="1141079192">
      <w:bodyDiv w:val="1"/>
      <w:marLeft w:val="0"/>
      <w:marRight w:val="0"/>
      <w:marTop w:val="0"/>
      <w:marBottom w:val="0"/>
      <w:divBdr>
        <w:top w:val="none" w:sz="0" w:space="0" w:color="auto"/>
        <w:left w:val="none" w:sz="0" w:space="0" w:color="auto"/>
        <w:bottom w:val="none" w:sz="0" w:space="0" w:color="auto"/>
        <w:right w:val="none" w:sz="0" w:space="0" w:color="auto"/>
      </w:divBdr>
    </w:div>
    <w:div w:id="1159924255">
      <w:bodyDiv w:val="1"/>
      <w:marLeft w:val="0"/>
      <w:marRight w:val="0"/>
      <w:marTop w:val="0"/>
      <w:marBottom w:val="0"/>
      <w:divBdr>
        <w:top w:val="none" w:sz="0" w:space="0" w:color="auto"/>
        <w:left w:val="none" w:sz="0" w:space="0" w:color="auto"/>
        <w:bottom w:val="none" w:sz="0" w:space="0" w:color="auto"/>
        <w:right w:val="none" w:sz="0" w:space="0" w:color="auto"/>
      </w:divBdr>
    </w:div>
    <w:div w:id="1216355487">
      <w:bodyDiv w:val="1"/>
      <w:marLeft w:val="0"/>
      <w:marRight w:val="0"/>
      <w:marTop w:val="0"/>
      <w:marBottom w:val="0"/>
      <w:divBdr>
        <w:top w:val="none" w:sz="0" w:space="0" w:color="auto"/>
        <w:left w:val="none" w:sz="0" w:space="0" w:color="auto"/>
        <w:bottom w:val="none" w:sz="0" w:space="0" w:color="auto"/>
        <w:right w:val="none" w:sz="0" w:space="0" w:color="auto"/>
      </w:divBdr>
    </w:div>
    <w:div w:id="1241401566">
      <w:bodyDiv w:val="1"/>
      <w:marLeft w:val="0"/>
      <w:marRight w:val="0"/>
      <w:marTop w:val="0"/>
      <w:marBottom w:val="0"/>
      <w:divBdr>
        <w:top w:val="none" w:sz="0" w:space="0" w:color="auto"/>
        <w:left w:val="none" w:sz="0" w:space="0" w:color="auto"/>
        <w:bottom w:val="none" w:sz="0" w:space="0" w:color="auto"/>
        <w:right w:val="none" w:sz="0" w:space="0" w:color="auto"/>
      </w:divBdr>
      <w:divsChild>
        <w:div w:id="1370111733">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0"/>
              <w:marBottom w:val="0"/>
              <w:divBdr>
                <w:top w:val="none" w:sz="0" w:space="0" w:color="auto"/>
                <w:left w:val="none" w:sz="0" w:space="0" w:color="auto"/>
                <w:bottom w:val="none" w:sz="0" w:space="0" w:color="auto"/>
                <w:right w:val="none" w:sz="0" w:space="0" w:color="auto"/>
              </w:divBdr>
              <w:divsChild>
                <w:div w:id="800852149">
                  <w:marLeft w:val="0"/>
                  <w:marRight w:val="0"/>
                  <w:marTop w:val="0"/>
                  <w:marBottom w:val="0"/>
                  <w:divBdr>
                    <w:top w:val="none" w:sz="0" w:space="0" w:color="auto"/>
                    <w:left w:val="none" w:sz="0" w:space="0" w:color="auto"/>
                    <w:bottom w:val="none" w:sz="0" w:space="0" w:color="auto"/>
                    <w:right w:val="none" w:sz="0" w:space="0" w:color="auto"/>
                  </w:divBdr>
                  <w:divsChild>
                    <w:div w:id="400834265">
                      <w:marLeft w:val="0"/>
                      <w:marRight w:val="0"/>
                      <w:marTop w:val="0"/>
                      <w:marBottom w:val="0"/>
                      <w:divBdr>
                        <w:top w:val="none" w:sz="0" w:space="0" w:color="auto"/>
                        <w:left w:val="none" w:sz="0" w:space="0" w:color="auto"/>
                        <w:bottom w:val="none" w:sz="0" w:space="0" w:color="auto"/>
                        <w:right w:val="none" w:sz="0" w:space="0" w:color="auto"/>
                      </w:divBdr>
                      <w:divsChild>
                        <w:div w:id="1630865426">
                          <w:marLeft w:val="0"/>
                          <w:marRight w:val="0"/>
                          <w:marTop w:val="0"/>
                          <w:marBottom w:val="0"/>
                          <w:divBdr>
                            <w:top w:val="none" w:sz="0" w:space="0" w:color="auto"/>
                            <w:left w:val="none" w:sz="0" w:space="0" w:color="auto"/>
                            <w:bottom w:val="none" w:sz="0" w:space="0" w:color="auto"/>
                            <w:right w:val="none" w:sz="0" w:space="0" w:color="auto"/>
                          </w:divBdr>
                          <w:divsChild>
                            <w:div w:id="1503353328">
                              <w:marLeft w:val="0"/>
                              <w:marRight w:val="-4320"/>
                              <w:marTop w:val="0"/>
                              <w:marBottom w:val="0"/>
                              <w:divBdr>
                                <w:top w:val="none" w:sz="0" w:space="0" w:color="auto"/>
                                <w:left w:val="none" w:sz="0" w:space="0" w:color="auto"/>
                                <w:bottom w:val="none" w:sz="0" w:space="0" w:color="auto"/>
                                <w:right w:val="single" w:sz="48" w:space="0" w:color="F2F2F2"/>
                              </w:divBdr>
                              <w:divsChild>
                                <w:div w:id="470245088">
                                  <w:marLeft w:val="0"/>
                                  <w:marRight w:val="0"/>
                                  <w:marTop w:val="0"/>
                                  <w:marBottom w:val="0"/>
                                  <w:divBdr>
                                    <w:top w:val="none" w:sz="0" w:space="0" w:color="auto"/>
                                    <w:left w:val="none" w:sz="0" w:space="0" w:color="auto"/>
                                    <w:bottom w:val="none" w:sz="0" w:space="0" w:color="auto"/>
                                    <w:right w:val="none" w:sz="0" w:space="0" w:color="auto"/>
                                  </w:divBdr>
                                  <w:divsChild>
                                    <w:div w:id="2036729100">
                                      <w:marLeft w:val="0"/>
                                      <w:marRight w:val="0"/>
                                      <w:marTop w:val="0"/>
                                      <w:marBottom w:val="0"/>
                                      <w:divBdr>
                                        <w:top w:val="none" w:sz="0" w:space="0" w:color="auto"/>
                                        <w:left w:val="none" w:sz="0" w:space="0" w:color="auto"/>
                                        <w:bottom w:val="none" w:sz="0" w:space="0" w:color="auto"/>
                                        <w:right w:val="none" w:sz="0" w:space="0" w:color="auto"/>
                                      </w:divBdr>
                                      <w:divsChild>
                                        <w:div w:id="1800102708">
                                          <w:marLeft w:val="0"/>
                                          <w:marRight w:val="0"/>
                                          <w:marTop w:val="0"/>
                                          <w:marBottom w:val="0"/>
                                          <w:divBdr>
                                            <w:top w:val="none" w:sz="0" w:space="0" w:color="auto"/>
                                            <w:left w:val="none" w:sz="0" w:space="0" w:color="auto"/>
                                            <w:bottom w:val="none" w:sz="0" w:space="0" w:color="auto"/>
                                            <w:right w:val="none" w:sz="0" w:space="0" w:color="auto"/>
                                          </w:divBdr>
                                          <w:divsChild>
                                            <w:div w:id="567572651">
                                              <w:marLeft w:val="0"/>
                                              <w:marRight w:val="0"/>
                                              <w:marTop w:val="0"/>
                                              <w:marBottom w:val="0"/>
                                              <w:divBdr>
                                                <w:top w:val="none" w:sz="0" w:space="0" w:color="auto"/>
                                                <w:left w:val="none" w:sz="0" w:space="0" w:color="auto"/>
                                                <w:bottom w:val="none" w:sz="0" w:space="0" w:color="auto"/>
                                                <w:right w:val="none" w:sz="0" w:space="0" w:color="auto"/>
                                              </w:divBdr>
                                              <w:divsChild>
                                                <w:div w:id="1803382776">
                                                  <w:marLeft w:val="0"/>
                                                  <w:marRight w:val="0"/>
                                                  <w:marTop w:val="0"/>
                                                  <w:marBottom w:val="0"/>
                                                  <w:divBdr>
                                                    <w:top w:val="none" w:sz="0" w:space="0" w:color="auto"/>
                                                    <w:left w:val="none" w:sz="0" w:space="0" w:color="auto"/>
                                                    <w:bottom w:val="none" w:sz="0" w:space="0" w:color="auto"/>
                                                    <w:right w:val="none" w:sz="0" w:space="0" w:color="auto"/>
                                                  </w:divBdr>
                                                  <w:divsChild>
                                                    <w:div w:id="1239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595684">
      <w:bodyDiv w:val="1"/>
      <w:marLeft w:val="0"/>
      <w:marRight w:val="0"/>
      <w:marTop w:val="0"/>
      <w:marBottom w:val="0"/>
      <w:divBdr>
        <w:top w:val="none" w:sz="0" w:space="0" w:color="auto"/>
        <w:left w:val="none" w:sz="0" w:space="0" w:color="auto"/>
        <w:bottom w:val="none" w:sz="0" w:space="0" w:color="auto"/>
        <w:right w:val="none" w:sz="0" w:space="0" w:color="auto"/>
      </w:divBdr>
    </w:div>
    <w:div w:id="1241872596">
      <w:bodyDiv w:val="1"/>
      <w:marLeft w:val="0"/>
      <w:marRight w:val="0"/>
      <w:marTop w:val="0"/>
      <w:marBottom w:val="0"/>
      <w:divBdr>
        <w:top w:val="none" w:sz="0" w:space="0" w:color="auto"/>
        <w:left w:val="none" w:sz="0" w:space="0" w:color="auto"/>
        <w:bottom w:val="none" w:sz="0" w:space="0" w:color="auto"/>
        <w:right w:val="none" w:sz="0" w:space="0" w:color="auto"/>
      </w:divBdr>
    </w:div>
    <w:div w:id="1261835955">
      <w:bodyDiv w:val="1"/>
      <w:marLeft w:val="0"/>
      <w:marRight w:val="0"/>
      <w:marTop w:val="0"/>
      <w:marBottom w:val="0"/>
      <w:divBdr>
        <w:top w:val="none" w:sz="0" w:space="0" w:color="auto"/>
        <w:left w:val="none" w:sz="0" w:space="0" w:color="auto"/>
        <w:bottom w:val="none" w:sz="0" w:space="0" w:color="auto"/>
        <w:right w:val="none" w:sz="0" w:space="0" w:color="auto"/>
      </w:divBdr>
    </w:div>
    <w:div w:id="1276982542">
      <w:bodyDiv w:val="1"/>
      <w:marLeft w:val="0"/>
      <w:marRight w:val="0"/>
      <w:marTop w:val="0"/>
      <w:marBottom w:val="0"/>
      <w:divBdr>
        <w:top w:val="none" w:sz="0" w:space="0" w:color="auto"/>
        <w:left w:val="none" w:sz="0" w:space="0" w:color="auto"/>
        <w:bottom w:val="none" w:sz="0" w:space="0" w:color="auto"/>
        <w:right w:val="none" w:sz="0" w:space="0" w:color="auto"/>
      </w:divBdr>
    </w:div>
    <w:div w:id="1292904335">
      <w:bodyDiv w:val="1"/>
      <w:marLeft w:val="0"/>
      <w:marRight w:val="0"/>
      <w:marTop w:val="0"/>
      <w:marBottom w:val="0"/>
      <w:divBdr>
        <w:top w:val="none" w:sz="0" w:space="0" w:color="auto"/>
        <w:left w:val="none" w:sz="0" w:space="0" w:color="auto"/>
        <w:bottom w:val="none" w:sz="0" w:space="0" w:color="auto"/>
        <w:right w:val="none" w:sz="0" w:space="0" w:color="auto"/>
      </w:divBdr>
    </w:div>
    <w:div w:id="1307395924">
      <w:bodyDiv w:val="1"/>
      <w:marLeft w:val="0"/>
      <w:marRight w:val="0"/>
      <w:marTop w:val="0"/>
      <w:marBottom w:val="0"/>
      <w:divBdr>
        <w:top w:val="none" w:sz="0" w:space="0" w:color="auto"/>
        <w:left w:val="none" w:sz="0" w:space="0" w:color="auto"/>
        <w:bottom w:val="none" w:sz="0" w:space="0" w:color="auto"/>
        <w:right w:val="none" w:sz="0" w:space="0" w:color="auto"/>
      </w:divBdr>
    </w:div>
    <w:div w:id="1308825756">
      <w:bodyDiv w:val="1"/>
      <w:marLeft w:val="0"/>
      <w:marRight w:val="0"/>
      <w:marTop w:val="0"/>
      <w:marBottom w:val="0"/>
      <w:divBdr>
        <w:top w:val="none" w:sz="0" w:space="0" w:color="auto"/>
        <w:left w:val="none" w:sz="0" w:space="0" w:color="auto"/>
        <w:bottom w:val="none" w:sz="0" w:space="0" w:color="auto"/>
        <w:right w:val="none" w:sz="0" w:space="0" w:color="auto"/>
      </w:divBdr>
    </w:div>
    <w:div w:id="1332029649">
      <w:bodyDiv w:val="1"/>
      <w:marLeft w:val="0"/>
      <w:marRight w:val="0"/>
      <w:marTop w:val="0"/>
      <w:marBottom w:val="0"/>
      <w:divBdr>
        <w:top w:val="none" w:sz="0" w:space="0" w:color="auto"/>
        <w:left w:val="none" w:sz="0" w:space="0" w:color="auto"/>
        <w:bottom w:val="none" w:sz="0" w:space="0" w:color="auto"/>
        <w:right w:val="none" w:sz="0" w:space="0" w:color="auto"/>
      </w:divBdr>
    </w:div>
    <w:div w:id="1355421731">
      <w:bodyDiv w:val="1"/>
      <w:marLeft w:val="0"/>
      <w:marRight w:val="0"/>
      <w:marTop w:val="0"/>
      <w:marBottom w:val="0"/>
      <w:divBdr>
        <w:top w:val="none" w:sz="0" w:space="0" w:color="auto"/>
        <w:left w:val="none" w:sz="0" w:space="0" w:color="auto"/>
        <w:bottom w:val="none" w:sz="0" w:space="0" w:color="auto"/>
        <w:right w:val="none" w:sz="0" w:space="0" w:color="auto"/>
      </w:divBdr>
    </w:div>
    <w:div w:id="1356343407">
      <w:bodyDiv w:val="1"/>
      <w:marLeft w:val="0"/>
      <w:marRight w:val="0"/>
      <w:marTop w:val="0"/>
      <w:marBottom w:val="0"/>
      <w:divBdr>
        <w:top w:val="none" w:sz="0" w:space="0" w:color="auto"/>
        <w:left w:val="none" w:sz="0" w:space="0" w:color="auto"/>
        <w:bottom w:val="none" w:sz="0" w:space="0" w:color="auto"/>
        <w:right w:val="none" w:sz="0" w:space="0" w:color="auto"/>
      </w:divBdr>
    </w:div>
    <w:div w:id="1366979585">
      <w:bodyDiv w:val="1"/>
      <w:marLeft w:val="0"/>
      <w:marRight w:val="0"/>
      <w:marTop w:val="0"/>
      <w:marBottom w:val="0"/>
      <w:divBdr>
        <w:top w:val="none" w:sz="0" w:space="0" w:color="auto"/>
        <w:left w:val="none" w:sz="0" w:space="0" w:color="auto"/>
        <w:bottom w:val="none" w:sz="0" w:space="0" w:color="auto"/>
        <w:right w:val="none" w:sz="0" w:space="0" w:color="auto"/>
      </w:divBdr>
    </w:div>
    <w:div w:id="1499925652">
      <w:bodyDiv w:val="1"/>
      <w:marLeft w:val="0"/>
      <w:marRight w:val="0"/>
      <w:marTop w:val="0"/>
      <w:marBottom w:val="0"/>
      <w:divBdr>
        <w:top w:val="none" w:sz="0" w:space="0" w:color="auto"/>
        <w:left w:val="none" w:sz="0" w:space="0" w:color="auto"/>
        <w:bottom w:val="none" w:sz="0" w:space="0" w:color="auto"/>
        <w:right w:val="none" w:sz="0" w:space="0" w:color="auto"/>
      </w:divBdr>
    </w:div>
    <w:div w:id="1581405388">
      <w:bodyDiv w:val="1"/>
      <w:marLeft w:val="0"/>
      <w:marRight w:val="0"/>
      <w:marTop w:val="0"/>
      <w:marBottom w:val="0"/>
      <w:divBdr>
        <w:top w:val="none" w:sz="0" w:space="0" w:color="auto"/>
        <w:left w:val="none" w:sz="0" w:space="0" w:color="auto"/>
        <w:bottom w:val="none" w:sz="0" w:space="0" w:color="auto"/>
        <w:right w:val="none" w:sz="0" w:space="0" w:color="auto"/>
      </w:divBdr>
    </w:div>
    <w:div w:id="1631201936">
      <w:bodyDiv w:val="1"/>
      <w:marLeft w:val="0"/>
      <w:marRight w:val="0"/>
      <w:marTop w:val="0"/>
      <w:marBottom w:val="0"/>
      <w:divBdr>
        <w:top w:val="none" w:sz="0" w:space="0" w:color="auto"/>
        <w:left w:val="none" w:sz="0" w:space="0" w:color="auto"/>
        <w:bottom w:val="none" w:sz="0" w:space="0" w:color="auto"/>
        <w:right w:val="none" w:sz="0" w:space="0" w:color="auto"/>
      </w:divBdr>
    </w:div>
    <w:div w:id="1690914164">
      <w:bodyDiv w:val="1"/>
      <w:marLeft w:val="0"/>
      <w:marRight w:val="0"/>
      <w:marTop w:val="0"/>
      <w:marBottom w:val="0"/>
      <w:divBdr>
        <w:top w:val="none" w:sz="0" w:space="0" w:color="auto"/>
        <w:left w:val="none" w:sz="0" w:space="0" w:color="auto"/>
        <w:bottom w:val="none" w:sz="0" w:space="0" w:color="auto"/>
        <w:right w:val="none" w:sz="0" w:space="0" w:color="auto"/>
      </w:divBdr>
    </w:div>
    <w:div w:id="1695689673">
      <w:bodyDiv w:val="1"/>
      <w:marLeft w:val="0"/>
      <w:marRight w:val="0"/>
      <w:marTop w:val="0"/>
      <w:marBottom w:val="0"/>
      <w:divBdr>
        <w:top w:val="none" w:sz="0" w:space="0" w:color="auto"/>
        <w:left w:val="none" w:sz="0" w:space="0" w:color="auto"/>
        <w:bottom w:val="none" w:sz="0" w:space="0" w:color="auto"/>
        <w:right w:val="none" w:sz="0" w:space="0" w:color="auto"/>
      </w:divBdr>
    </w:div>
    <w:div w:id="1701396864">
      <w:bodyDiv w:val="1"/>
      <w:marLeft w:val="0"/>
      <w:marRight w:val="0"/>
      <w:marTop w:val="0"/>
      <w:marBottom w:val="0"/>
      <w:divBdr>
        <w:top w:val="none" w:sz="0" w:space="0" w:color="auto"/>
        <w:left w:val="none" w:sz="0" w:space="0" w:color="auto"/>
        <w:bottom w:val="none" w:sz="0" w:space="0" w:color="auto"/>
        <w:right w:val="none" w:sz="0" w:space="0" w:color="auto"/>
      </w:divBdr>
    </w:div>
    <w:div w:id="1795756542">
      <w:bodyDiv w:val="1"/>
      <w:marLeft w:val="0"/>
      <w:marRight w:val="0"/>
      <w:marTop w:val="0"/>
      <w:marBottom w:val="0"/>
      <w:divBdr>
        <w:top w:val="none" w:sz="0" w:space="0" w:color="auto"/>
        <w:left w:val="none" w:sz="0" w:space="0" w:color="auto"/>
        <w:bottom w:val="none" w:sz="0" w:space="0" w:color="auto"/>
        <w:right w:val="none" w:sz="0" w:space="0" w:color="auto"/>
      </w:divBdr>
    </w:div>
    <w:div w:id="1799907556">
      <w:bodyDiv w:val="1"/>
      <w:marLeft w:val="0"/>
      <w:marRight w:val="0"/>
      <w:marTop w:val="0"/>
      <w:marBottom w:val="0"/>
      <w:divBdr>
        <w:top w:val="none" w:sz="0" w:space="0" w:color="auto"/>
        <w:left w:val="none" w:sz="0" w:space="0" w:color="auto"/>
        <w:bottom w:val="none" w:sz="0" w:space="0" w:color="auto"/>
        <w:right w:val="none" w:sz="0" w:space="0" w:color="auto"/>
      </w:divBdr>
    </w:div>
    <w:div w:id="1889605459">
      <w:bodyDiv w:val="1"/>
      <w:marLeft w:val="0"/>
      <w:marRight w:val="0"/>
      <w:marTop w:val="0"/>
      <w:marBottom w:val="0"/>
      <w:divBdr>
        <w:top w:val="none" w:sz="0" w:space="0" w:color="auto"/>
        <w:left w:val="none" w:sz="0" w:space="0" w:color="auto"/>
        <w:bottom w:val="none" w:sz="0" w:space="0" w:color="auto"/>
        <w:right w:val="none" w:sz="0" w:space="0" w:color="auto"/>
      </w:divBdr>
    </w:div>
    <w:div w:id="1991474082">
      <w:bodyDiv w:val="1"/>
      <w:marLeft w:val="0"/>
      <w:marRight w:val="0"/>
      <w:marTop w:val="0"/>
      <w:marBottom w:val="0"/>
      <w:divBdr>
        <w:top w:val="none" w:sz="0" w:space="0" w:color="auto"/>
        <w:left w:val="none" w:sz="0" w:space="0" w:color="auto"/>
        <w:bottom w:val="none" w:sz="0" w:space="0" w:color="auto"/>
        <w:right w:val="none" w:sz="0" w:space="0" w:color="auto"/>
      </w:divBdr>
    </w:div>
    <w:div w:id="2006280218">
      <w:bodyDiv w:val="1"/>
      <w:marLeft w:val="0"/>
      <w:marRight w:val="0"/>
      <w:marTop w:val="0"/>
      <w:marBottom w:val="0"/>
      <w:divBdr>
        <w:top w:val="none" w:sz="0" w:space="0" w:color="auto"/>
        <w:left w:val="none" w:sz="0" w:space="0" w:color="auto"/>
        <w:bottom w:val="none" w:sz="0" w:space="0" w:color="auto"/>
        <w:right w:val="none" w:sz="0" w:space="0" w:color="auto"/>
      </w:divBdr>
    </w:div>
    <w:div w:id="2006470154">
      <w:bodyDiv w:val="1"/>
      <w:marLeft w:val="0"/>
      <w:marRight w:val="0"/>
      <w:marTop w:val="0"/>
      <w:marBottom w:val="0"/>
      <w:divBdr>
        <w:top w:val="none" w:sz="0" w:space="0" w:color="auto"/>
        <w:left w:val="none" w:sz="0" w:space="0" w:color="auto"/>
        <w:bottom w:val="none" w:sz="0" w:space="0" w:color="auto"/>
        <w:right w:val="none" w:sz="0" w:space="0" w:color="auto"/>
      </w:divBdr>
    </w:div>
    <w:div w:id="2036269908">
      <w:bodyDiv w:val="1"/>
      <w:marLeft w:val="0"/>
      <w:marRight w:val="0"/>
      <w:marTop w:val="0"/>
      <w:marBottom w:val="0"/>
      <w:divBdr>
        <w:top w:val="none" w:sz="0" w:space="0" w:color="auto"/>
        <w:left w:val="none" w:sz="0" w:space="0" w:color="auto"/>
        <w:bottom w:val="none" w:sz="0" w:space="0" w:color="auto"/>
        <w:right w:val="none" w:sz="0" w:space="0" w:color="auto"/>
      </w:divBdr>
    </w:div>
    <w:div w:id="206729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ia.org/" TargetMode="External"/><Relationship Id="rId18" Type="http://schemas.openxmlformats.org/officeDocument/2006/relationships/hyperlink" Target="mailto:Deborah.L.Pazourek@medsta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aura.Sak-Castellano@advocatehealth.com" TargetMode="External"/><Relationship Id="rId2" Type="http://schemas.openxmlformats.org/officeDocument/2006/relationships/numbering" Target="numbering.xml"/><Relationship Id="rId16" Type="http://schemas.openxmlformats.org/officeDocument/2006/relationships/hyperlink" Target="mailto:debi.weatherford@piedmon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tlbmc@cox.ne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hyperlink" Target="mailto:alan.p.henton@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6E13-1272-45DE-9E7B-C701CEBD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3244</Words>
  <Characters>18491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Jackson Health Systems</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Andre A</dc:creator>
  <cp:lastModifiedBy>Cunningham, Michelle</cp:lastModifiedBy>
  <cp:revision>2</cp:revision>
  <cp:lastPrinted>2020-10-20T17:33:00Z</cp:lastPrinted>
  <dcterms:created xsi:type="dcterms:W3CDTF">2020-10-20T17:51:00Z</dcterms:created>
  <dcterms:modified xsi:type="dcterms:W3CDTF">2020-10-20T17:51:00Z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LastSaved">
    <vt:filetime>2014-02-03T00:00:00Z</vt:filetime>
  </property>
  <property fmtid="{D5CDD505-2E9C-101B-9397-08002B2CF9AE}" pid="4" name="NativeLinkConverted2">
    <vt:bool>true</vt:bool>
  </property>
</Properties>
</file>